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版本号：SCZA2025-CS-1539-00120250623001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陕西省“十五五”《城市生活垃圾分类规划》编制项目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SCZA2025-CS-1539-001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陕西省“十五五”《城市生活垃圾分类规划》编制项目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SCZA2025-CS-1539-001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陕西省“十五五”《城市生活垃圾分类规划》编制项目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陕西省“十五五”《城市生活垃圾分类规划》编制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1.供应商在递交投标文件截止时间前被“信用中国”网站（www.creditchina.gov.cn）和中国政府采购网（www.ccgp.gov.cn）上被列入失信被执行人、重大税收违法失信主体、政府采购严重违法失信行为记录名单的，不得参加投标； 2.城乡规划编制甲级资质。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银行账号：103261567674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代理服务费收费标准：1.参照《国家计委关于印发&lt;招标代理服务收费管理暂行办法&gt;的通知》（计价格[2002]1980号）规定标准（按标段）收取，不足6000元按6000元收取; 2. 成交单位的代理服务费交纳信息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陕西省“十五五”《城市生活垃圾分类规划》编制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编制《陕西省“十五五”城市生活垃圾分类规划》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标的名称：编制《陕西省“十五五”城市生活垃圾分类规划》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outlineLvl w:val="0"/>
            </w:pPr>
            <w:r>
              <w:rPr>
                <w:rFonts w:ascii="仿宋_GB2312" w:hAnsi="仿宋_GB2312" w:cs="仿宋_GB2312" w:eastAsia="仿宋_GB2312"/>
                <w:sz w:val="48"/>
                <w:b/>
              </w:rPr>
              <w:t>一、项目工作内容</w:t>
            </w:r>
          </w:p>
          <w:p>
            <w:pPr>
              <w:pStyle w:val="null3"/>
              <w:outlineLvl w:val="1"/>
            </w:pPr>
            <w:r>
              <w:rPr>
                <w:rFonts w:ascii="仿宋_GB2312" w:hAnsi="仿宋_GB2312" w:cs="仿宋_GB2312" w:eastAsia="仿宋_GB2312"/>
                <w:sz w:val="36"/>
                <w:b/>
              </w:rPr>
              <w:t>（一）项目主体内容</w:t>
            </w:r>
          </w:p>
          <w:p>
            <w:pPr>
              <w:pStyle w:val="null3"/>
              <w:outlineLvl w:val="2"/>
            </w:pPr>
            <w:r>
              <w:rPr>
                <w:rFonts w:ascii="仿宋_GB2312" w:hAnsi="仿宋_GB2312" w:cs="仿宋_GB2312" w:eastAsia="仿宋_GB2312"/>
                <w:sz w:val="28"/>
                <w:b/>
              </w:rPr>
              <w:t>1、规划编制主体</w:t>
            </w:r>
          </w:p>
          <w:p>
            <w:pPr>
              <w:pStyle w:val="null3"/>
            </w:pPr>
            <w:r>
              <w:rPr>
                <w:rFonts w:ascii="仿宋_GB2312" w:hAnsi="仿宋_GB2312" w:cs="仿宋_GB2312" w:eastAsia="仿宋_GB2312"/>
              </w:rPr>
              <w:t>《陕西省“十五五”城市生活垃圾分类规划》由陕西省住房和城乡建设厅组织编制，厅城管处负责牵头，负责指导研究机构或科研院所开展规划编制工作。</w:t>
            </w:r>
          </w:p>
          <w:p>
            <w:pPr>
              <w:pStyle w:val="null3"/>
              <w:outlineLvl w:val="2"/>
            </w:pPr>
            <w:r>
              <w:rPr>
                <w:rFonts w:ascii="仿宋_GB2312" w:hAnsi="仿宋_GB2312" w:cs="仿宋_GB2312" w:eastAsia="仿宋_GB2312"/>
                <w:sz w:val="28"/>
                <w:b/>
              </w:rPr>
              <w:t>2、规划功能目标</w:t>
            </w:r>
          </w:p>
          <w:p>
            <w:pPr>
              <w:pStyle w:val="null3"/>
            </w:pPr>
            <w:r>
              <w:rPr>
                <w:rFonts w:ascii="仿宋_GB2312" w:hAnsi="仿宋_GB2312" w:cs="仿宋_GB2312" w:eastAsia="仿宋_GB2312"/>
              </w:rPr>
              <w:t>全面总结“十四五”期间全省垃圾分类体系建设的基本情况及现存问题，阐明全省“十五五”期间住房城乡建设领域安全的指导思想、基本原则和发展目标，其中《生活垃圾分类划》围绕垃圾分类长效治理体系建设、前端分类收运体系提质增效、末端分类处理设施韧性提升、生活垃圾资源循环利用水平提高、关键技术研发和试点示范建设、智慧环卫系统全周期管理平台搭建等方面，明确全省垃圾分类工作的核心任务与推进措施。</w:t>
            </w:r>
          </w:p>
          <w:p>
            <w:pPr>
              <w:pStyle w:val="null3"/>
              <w:outlineLvl w:val="2"/>
            </w:pPr>
            <w:r>
              <w:rPr>
                <w:rFonts w:ascii="仿宋_GB2312" w:hAnsi="仿宋_GB2312" w:cs="仿宋_GB2312" w:eastAsia="仿宋_GB2312"/>
                <w:sz w:val="28"/>
                <w:b/>
              </w:rPr>
              <w:t>3、规划编制程序</w:t>
            </w:r>
          </w:p>
          <w:p>
            <w:pPr>
              <w:pStyle w:val="null3"/>
            </w:pPr>
            <w:r>
              <w:rPr>
                <w:rFonts w:ascii="仿宋_GB2312" w:hAnsi="仿宋_GB2312" w:cs="仿宋_GB2312" w:eastAsia="仿宋_GB2312"/>
              </w:rPr>
              <w:t>（1）制定工作计划和收集基础资料</w:t>
            </w:r>
          </w:p>
          <w:p>
            <w:pPr>
              <w:pStyle w:val="null3"/>
            </w:pPr>
            <w:r>
              <w:rPr>
                <w:rFonts w:ascii="仿宋_GB2312" w:hAnsi="仿宋_GB2312" w:cs="仿宋_GB2312" w:eastAsia="仿宋_GB2312"/>
              </w:rPr>
              <w:t>明确规划编制工作组织、责任分工、工作内容、进度安排、组织保障、经费预算等内容，开展必要的宣传动员和技术培训工作。全面开展收集全省关于垃圾分类领域发展多方面的相关基础资料。</w:t>
            </w:r>
          </w:p>
          <w:p>
            <w:pPr>
              <w:pStyle w:val="null3"/>
            </w:pPr>
            <w:r>
              <w:rPr>
                <w:rFonts w:ascii="仿宋_GB2312" w:hAnsi="仿宋_GB2312" w:cs="仿宋_GB2312" w:eastAsia="仿宋_GB2312"/>
              </w:rPr>
              <w:t>（2）开展问题梳理和编制规划方案</w:t>
            </w:r>
          </w:p>
          <w:p>
            <w:pPr>
              <w:pStyle w:val="null3"/>
            </w:pPr>
            <w:r>
              <w:rPr>
                <w:rFonts w:ascii="仿宋_GB2312" w:hAnsi="仿宋_GB2312" w:cs="仿宋_GB2312" w:eastAsia="仿宋_GB2312"/>
              </w:rPr>
              <w:t>通过各级走访、社会调查、交流研讨、专家咨询等方式，深入梳理并总结“十五五”时期全省垃圾分类治理体系建设方面的综合现状、存在问题、发展意愿等。按照专项规划相关编制需求，组织编制规划方案，形成规划初步成果。</w:t>
            </w:r>
          </w:p>
          <w:p>
            <w:pPr>
              <w:pStyle w:val="null3"/>
            </w:pPr>
            <w:r>
              <w:rPr>
                <w:rFonts w:ascii="仿宋_GB2312" w:hAnsi="仿宋_GB2312" w:cs="仿宋_GB2312" w:eastAsia="仿宋_GB2312"/>
              </w:rPr>
              <w:t>（3）规划成果论证和审定印发实施</w:t>
            </w:r>
          </w:p>
          <w:p>
            <w:pPr>
              <w:pStyle w:val="null3"/>
            </w:pPr>
            <w:r>
              <w:rPr>
                <w:rFonts w:ascii="仿宋_GB2312" w:hAnsi="仿宋_GB2312" w:cs="仿宋_GB2312" w:eastAsia="仿宋_GB2312"/>
              </w:rPr>
              <w:t>规划初步成果形成后，应充分征求各级相关部门和多方发展诉求，组织专家评审论证，确保规划成果的前瞻性、科学性和可操作性。本专项规划经陕西省住建厅党组审定后统一印发实施。</w:t>
            </w:r>
          </w:p>
          <w:p>
            <w:pPr>
              <w:pStyle w:val="null3"/>
              <w:outlineLvl w:val="1"/>
            </w:pPr>
            <w:r>
              <w:rPr>
                <w:rFonts w:ascii="仿宋_GB2312" w:hAnsi="仿宋_GB2312" w:cs="仿宋_GB2312" w:eastAsia="仿宋_GB2312"/>
                <w:sz w:val="36"/>
                <w:b/>
              </w:rPr>
              <w:t>（二）项目编制依据</w:t>
            </w:r>
          </w:p>
          <w:p>
            <w:pPr>
              <w:pStyle w:val="null3"/>
            </w:pPr>
            <w:r>
              <w:rPr>
                <w:rFonts w:ascii="仿宋_GB2312" w:hAnsi="仿宋_GB2312" w:cs="仿宋_GB2312" w:eastAsia="仿宋_GB2312"/>
              </w:rPr>
              <w:t>国家相关法律法规、技术依据、政策文件，规划需衔接国家、陕西省“十五五”规划及《陕西省“十五五”住房和城乡建设事业发展规划》相关内容。</w:t>
            </w:r>
          </w:p>
          <w:p>
            <w:pPr>
              <w:pStyle w:val="null3"/>
              <w:outlineLvl w:val="1"/>
            </w:pPr>
            <w:r>
              <w:rPr>
                <w:rFonts w:ascii="仿宋_GB2312" w:hAnsi="仿宋_GB2312" w:cs="仿宋_GB2312" w:eastAsia="仿宋_GB2312"/>
                <w:sz w:val="36"/>
                <w:b/>
              </w:rPr>
              <w:t>（三）项目成果要求</w:t>
            </w:r>
          </w:p>
          <w:p>
            <w:pPr>
              <w:pStyle w:val="null3"/>
            </w:pPr>
            <w:r>
              <w:rPr>
                <w:rFonts w:ascii="仿宋_GB2312" w:hAnsi="仿宋_GB2312" w:cs="仿宋_GB2312" w:eastAsia="仿宋_GB2312"/>
              </w:rPr>
              <w:t>按照陕西省住房和城乡建设厅规定的时间节点向甲方提交规定的所有纸质成果和电子数据（包括文本、附件等）。</w:t>
            </w:r>
          </w:p>
          <w:p>
            <w:pPr>
              <w:pStyle w:val="null3"/>
              <w:outlineLvl w:val="1"/>
            </w:pPr>
            <w:r>
              <w:rPr>
                <w:rFonts w:ascii="仿宋_GB2312" w:hAnsi="仿宋_GB2312" w:cs="仿宋_GB2312" w:eastAsia="仿宋_GB2312"/>
                <w:sz w:val="36"/>
                <w:b/>
              </w:rPr>
              <w:t>（四）项目质量需求</w:t>
            </w:r>
          </w:p>
          <w:p>
            <w:pPr>
              <w:pStyle w:val="null3"/>
            </w:pPr>
            <w:r>
              <w:rPr>
                <w:rFonts w:ascii="仿宋_GB2312" w:hAnsi="仿宋_GB2312" w:cs="仿宋_GB2312" w:eastAsia="仿宋_GB2312"/>
              </w:rPr>
              <w:t>规划成果应严格落实省委、省政府的系列决策部署，把落实“五个扎实”“五项要求”“四个着力”等重要要求贯彻于规划编制全过程并体现到规划各领域。</w:t>
            </w:r>
          </w:p>
          <w:p>
            <w:pPr>
              <w:pStyle w:val="null3"/>
            </w:pPr>
            <w:r>
              <w:rPr>
                <w:rFonts w:ascii="仿宋_GB2312" w:hAnsi="仿宋_GB2312" w:cs="仿宋_GB2312" w:eastAsia="仿宋_GB2312"/>
              </w:rPr>
              <w:t>规划编制前期应结合“十四五”总体评估和工作总结，开展全省范围基础调研工作，同时借鉴学习发达地区同类规划编制经验，扎实做好编制基础研究。规划成果应确保具有前瞻性、科学性和可操作性，能有效引导“十五五”期间全省垃圾分类治理体系建设的有序高效开展，确保规划“能用、管用、好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以文件为主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自签订合同之日起180日历日，具体时间以主管部门文件为准；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通过组织的专家评审并获得陕西省住房和城乡建设厅的审定后视为验收通过，并统一印发。</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方案编制完成，获得陕西省住房和城乡建设厅审定并批复后，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投标文件截止时间前被“信用中国”网站（www.creditchina.gov.cn）和中国政府采购网（www.ccgp.gov.cn）上被列入失信被执行人、重大税收违法失信主体、政府采购严重违法失信行为记录名单的，不得参加投标； 2.城乡规划编制甲级资质。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项目认知</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6分；（3）合理化建议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根据供应商的团队人员配备情况进行评审： （1）项目负责人具有正高级技术职称或同等专业水平证书等证明材料得2分； （2）项目负责人具有注册城乡规划师资格证的，得2分； （3）拟派本项目技术团队成员中具有城乡规划类相关专业高级或以上职称的，每提供一个得1分，共4分；（4）拟派本项目技术团队成员中具有城乡规划类相关专业中级职称的，每提供一个得1分，共2分。 注：供应商未提供或提供无效相关内容不得分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2. 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提供2021年至今类似项目业绩，响应文件中附有其合同或中标通知书作为证明文件，每提供一个业绩证明材料计2分，满分 10。（未提供或提供不全不得分）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的质量要求、进度要求、时限要求等做出承诺：（1）承诺完整详细、描述清晰、内容科学合理、可实施性强的，得5分；（2）承诺较完整但简单、内容合理性及可实施性一般的，得3分；（3）承诺内容有缺失，影响到项目实施的，得1分；（4）未提供的不得分。 2.供应商针对项目后期服务等相关内容做出承诺，内容全面可行：（1）承诺完整详细、描述清晰、内容科学合理、可实施性强的，得5分；（2）承诺较完整但简单、内容合理性及可实施性一般的，得3分；（3）承诺内容有缺失，影响到项目实施的，得1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