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版本号：BYTC2025CG016-120250620002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移动警务终端购置项目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BYTC2025CG016-1</w:t>
      </w:r>
      <w:r>
        <w:br/>
      </w:r>
      <w:r>
        <w:br/>
      </w:r>
      <w:r>
        <w:br/>
      </w:r>
    </w:p>
    <w:p>
      <w:pPr>
        <w:pStyle w:val="null3"/>
        <w:jc w:val="center"/>
        <w:outlineLvl w:val="2"/>
      </w:pPr>
      <w:r>
        <w:rPr>
          <w:rFonts w:ascii="仿宋_GB2312" w:hAnsi="仿宋_GB2312" w:cs="仿宋_GB2312" w:eastAsia="仿宋_GB2312"/>
          <w:sz w:val="28"/>
          <w:b/>
        </w:rPr>
        <w:t>陕西省汉中强制隔离戒毒所</w:t>
      </w:r>
    </w:p>
    <w:p>
      <w:pPr>
        <w:pStyle w:val="null3"/>
        <w:jc w:val="center"/>
        <w:outlineLvl w:val="2"/>
      </w:pPr>
      <w:r>
        <w:rPr>
          <w:rFonts w:ascii="仿宋_GB2312" w:hAnsi="仿宋_GB2312" w:cs="仿宋_GB2312" w:eastAsia="仿宋_GB2312"/>
          <w:sz w:val="28"/>
          <w:b/>
        </w:rPr>
        <w:t>陕西博宇天诚项目管理有限公司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陕西博宇天诚项目管理有限公司</w:t>
      </w:r>
      <w:r>
        <w:rPr>
          <w:rFonts w:ascii="仿宋_GB2312" w:hAnsi="仿宋_GB2312" w:cs="仿宋_GB2312" w:eastAsia="仿宋_GB2312"/>
        </w:rPr>
        <w:t>（以下简称“代理机构”）受</w:t>
      </w:r>
      <w:r>
        <w:rPr>
          <w:rFonts w:ascii="仿宋_GB2312" w:hAnsi="仿宋_GB2312" w:cs="仿宋_GB2312" w:eastAsia="仿宋_GB2312"/>
        </w:rPr>
        <w:t>陕西省汉中强制隔离戒毒所</w:t>
      </w:r>
      <w:r>
        <w:rPr>
          <w:rFonts w:ascii="仿宋_GB2312" w:hAnsi="仿宋_GB2312" w:cs="仿宋_GB2312" w:eastAsia="仿宋_GB2312"/>
        </w:rPr>
        <w:t>委托，拟对</w:t>
      </w:r>
      <w:r>
        <w:rPr>
          <w:rFonts w:ascii="仿宋_GB2312" w:hAnsi="仿宋_GB2312" w:cs="仿宋_GB2312" w:eastAsia="仿宋_GB2312"/>
        </w:rPr>
        <w:t>移动警务终端购置项目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BYTC2025CG016-1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移动警务终端购置项目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移动警务终端，实现一线民警移动执法办案、现场业务办理、远程异地办公等移动业务的需求，提高机关应急指挥、快速反应、高效服务的能力。安全双系统，具备双系统隔离功能，支持对接场所门禁系统，无缝安全对接陕西省戒毒管理局新一代移动警务平台。</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 2024 年度经审计的财务报告（包括资产负债表、利润表、现金流量表、所有者权益变动表及其附注，成立时间至提交响应文件截止时间不足一年的可提供成立后任意时段的资产负债表），或其开标前三个月内基本存款账户开户银行出具的资信证明，（以上二种形式的资料提供任何一种即可）。</w:t>
      </w:r>
    </w:p>
    <w:p>
      <w:pPr>
        <w:pStyle w:val="null3"/>
      </w:pPr>
      <w:r>
        <w:rPr>
          <w:rFonts w:ascii="仿宋_GB2312" w:hAnsi="仿宋_GB2312" w:cs="仿宋_GB2312" w:eastAsia="仿宋_GB2312"/>
        </w:rPr>
        <w:t>3、社保资金缴纳证明：提供2024年5月1日至今已缴纳任意一个月的社会保障资金缴存单据或社保机构开具的社会保险参保缴费情况证明。依法不需要缴纳社会保障资金的供应商应提供相关证明文件。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4、税收缴纳证明：提供2024年5月1日至今已缴纳任意一个月的依法缴纳税收的相关凭据（时间以税款所属日期为准、税种为任意税种），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信用查询：通过“中国政府采购网”及“信用中国”网站查询相关主体无失信记录（网站查询截图加盖投标人公章，不得为“信用中国”中列入失信被执行人和重大税收违法案件当事人名单的投标人，不得为中国政府采购网政府采购严重违法失信行为记录名单中被财政部门禁止参加政府采购活动的投标人。</w:t>
      </w:r>
    </w:p>
    <w:p>
      <w:pPr>
        <w:pStyle w:val="null3"/>
      </w:pPr>
      <w:r>
        <w:rPr>
          <w:rFonts w:ascii="仿宋_GB2312" w:hAnsi="仿宋_GB2312" w:cs="仿宋_GB2312" w:eastAsia="仿宋_GB2312"/>
        </w:rPr>
        <w:t>6、法定代表人（负责人）委托授权书\身份证明：：法定代表人授权委托书：法定代表人参加投标的，须提供本人身份证复印件（附在资格证明文件中）；法定代表人授权他人参加投标的，须提供法定代表人授权委托书。招标文件中凡是需要法定代表人盖章之处，非法人单位的负责人均参照执行。</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陕西省汉中强制隔离戒毒所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汉中市经济开发区鑫源办事处千户村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0916-2627177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陕西博宇天诚项目管理有限公司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陕西省汉中市汉台区汉中路街道办事处荔枝路智诚雅居2楼1号写字间</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0916-2697988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采购包1：510,000.00元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开户名称：陕西博宇天诚项目管理有限公司</w:t>
            </w:r>
          </w:p>
          <w:p>
            <w:pPr>
              <w:pStyle w:val="null3"/>
            </w:pPr>
            <w:r>
              <w:rPr>
                <w:rFonts w:ascii="仿宋_GB2312" w:hAnsi="仿宋_GB2312" w:cs="仿宋_GB2312" w:eastAsia="仿宋_GB2312"/>
              </w:rPr>
              <w:t>开户银行：长安银行股份有限公司汉中兴元路支行</w:t>
            </w:r>
          </w:p>
          <w:p>
            <w:pPr>
              <w:pStyle w:val="null3"/>
            </w:pPr>
            <w:r>
              <w:rPr>
                <w:rFonts w:ascii="仿宋_GB2312" w:hAnsi="仿宋_GB2312" w:cs="仿宋_GB2312" w:eastAsia="仿宋_GB2312"/>
              </w:rPr>
              <w:t>银行账号：806060601429999888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代理服务费收费标准：项目招标代理费参照《招标代理服务收费管理暂行办法》所规定的收费标准（即按中标金额的1.5%计取）由中标供应商支付，不足叁仟元的，按叁仟元计取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陕西省汉中强制隔离戒毒所</w:t>
      </w:r>
      <w:r>
        <w:rPr>
          <w:rFonts w:ascii="仿宋_GB2312" w:hAnsi="仿宋_GB2312" w:cs="仿宋_GB2312" w:eastAsia="仿宋_GB2312"/>
        </w:rPr>
        <w:t>和</w:t>
      </w:r>
      <w:r>
        <w:rPr>
          <w:rFonts w:ascii="仿宋_GB2312" w:hAnsi="仿宋_GB2312" w:cs="仿宋_GB2312" w:eastAsia="仿宋_GB2312"/>
        </w:rPr>
        <w:t>陕西博宇天诚项目管理有限公司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陕西省汉中强制隔离戒毒所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陕西博宇天诚项目管理有限公司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陕西省汉中强制隔离戒毒所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陕西博宇天诚项目管理有限公司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符合国家标准及采购人要求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陕西博宇天诚项目管理有限公司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陕西博宇天诚项目管理有限公司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陕西博宇天诚项目管理有限公司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联系人：杨克</w:t>
      </w:r>
    </w:p>
    <w:p>
      <w:pPr>
        <w:pStyle w:val="null3"/>
      </w:pPr>
      <w:r>
        <w:rPr>
          <w:rFonts w:ascii="仿宋_GB2312" w:hAnsi="仿宋_GB2312" w:cs="仿宋_GB2312" w:eastAsia="仿宋_GB2312"/>
        </w:rPr>
        <w:t>联系电话：0916-2697988</w:t>
      </w:r>
    </w:p>
    <w:p>
      <w:pPr>
        <w:pStyle w:val="null3"/>
      </w:pPr>
      <w:r>
        <w:rPr>
          <w:rFonts w:ascii="仿宋_GB2312" w:hAnsi="仿宋_GB2312" w:cs="仿宋_GB2312" w:eastAsia="仿宋_GB2312"/>
        </w:rPr>
        <w:t>地址：陕西省汉中市汉台区汉中路街道办事处荔枝路智诚雅居2楼1号写字间</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移动警务终端，实现一线民警移动执法办案、现场业务办理、远程异地办公等移动业务的需求，提高机关应急指挥、快速反应、高效服务的能力。安全双系统，具备双系统隔离功能，支持对接场所门禁系统，无缝安全对接陕西省戒毒管理局新一代移动警务平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510,000.00</w:t>
      </w:r>
    </w:p>
    <w:p>
      <w:pPr>
        <w:pStyle w:val="null3"/>
      </w:pPr>
      <w:r>
        <w:rPr>
          <w:rFonts w:ascii="仿宋_GB2312" w:hAnsi="仿宋_GB2312" w:cs="仿宋_GB2312" w:eastAsia="仿宋_GB2312"/>
        </w:rPr>
        <w:t>采购包最高限价（元）: 510,000.00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移动警务终端</w:t>
            </w:r>
          </w:p>
        </w:tc>
        <w:tc>
          <w:tcPr>
            <w:tcW w:type="dxa" w:w="831"/>
          </w:tcPr>
          <w:p>
            <w:pPr>
              <w:pStyle w:val="null3"/>
              <w:jc w:val="right"/>
            </w:pPr>
            <w:r>
              <w:rPr>
                <w:rFonts w:ascii="仿宋_GB2312" w:hAnsi="仿宋_GB2312" w:cs="仿宋_GB2312" w:eastAsia="仿宋_GB2312"/>
              </w:rPr>
              <w:t>85.00</w:t>
            </w:r>
          </w:p>
        </w:tc>
        <w:tc>
          <w:tcPr>
            <w:tcW w:type="dxa" w:w="831"/>
          </w:tcPr>
          <w:p>
            <w:pPr>
              <w:pStyle w:val="null3"/>
              <w:jc w:val="right"/>
            </w:pPr>
            <w:r>
              <w:rPr>
                <w:rFonts w:ascii="仿宋_GB2312" w:hAnsi="仿宋_GB2312" w:cs="仿宋_GB2312" w:eastAsia="仿宋_GB2312"/>
              </w:rPr>
              <w:t>510,000.00</w:t>
            </w:r>
          </w:p>
        </w:tc>
        <w:tc>
          <w:tcPr>
            <w:tcW w:type="dxa" w:w="831"/>
          </w:tcPr>
          <w:p>
            <w:pPr>
              <w:pStyle w:val="null3"/>
            </w:pPr>
            <w:r>
              <w:rPr>
                <w:rFonts w:ascii="仿宋_GB2312" w:hAnsi="仿宋_GB2312" w:cs="仿宋_GB2312" w:eastAsia="仿宋_GB2312"/>
              </w:rPr>
              <w:t>部</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标的名称：移动警务终端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国产品牌；</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支持安全双系统，具备双系统隔离功能，两个操作系统运行在不同的ROM空间，系统文件独立；通话记录、通讯录、图片、视频以及其他信息不能相互访问；两个操作系统间支持一键快速切换、指纹切换、NFC感应切换；某一个系统瘫痪不会影响另一个系统的运行；</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服务条件：放置在SIM卡上插入移动警务终端卡槽中，可为移动警务终端提供身份认证和信息加密服务，支持Nano SIM卡类型。</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对接要求：</w:t>
            </w:r>
            <w:r>
              <w:rPr>
                <w:rFonts w:ascii="仿宋_GB2312" w:hAnsi="仿宋_GB2312" w:cs="仿宋_GB2312" w:eastAsia="仿宋_GB2312"/>
                <w:sz w:val="24"/>
              </w:rPr>
              <w:t>支持对接场所门禁系统，无缝安全对接陕西省戒毒管理局新一代移动警务平台。</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配置要求：</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cpu</w:t>
            </w:r>
            <w:r>
              <w:rPr>
                <w:rFonts w:ascii="仿宋_GB2312" w:hAnsi="仿宋_GB2312" w:cs="仿宋_GB2312" w:eastAsia="仿宋_GB2312"/>
                <w:sz w:val="24"/>
              </w:rPr>
              <w:t>：国产芯片；</w:t>
            </w:r>
            <w:r>
              <w:rPr>
                <w:rFonts w:ascii="仿宋_GB2312" w:hAnsi="仿宋_GB2312" w:cs="仿宋_GB2312" w:eastAsia="仿宋_GB2312"/>
                <w:sz w:val="24"/>
              </w:rPr>
              <w:t>CPU</w:t>
            </w:r>
            <w:r>
              <w:rPr>
                <w:rFonts w:ascii="仿宋_GB2312" w:hAnsi="仿宋_GB2312" w:cs="仿宋_GB2312" w:eastAsia="仿宋_GB2312"/>
                <w:sz w:val="24"/>
              </w:rPr>
              <w:t>核数≥</w:t>
            </w:r>
            <w:r>
              <w:rPr>
                <w:rFonts w:ascii="仿宋_GB2312" w:hAnsi="仿宋_GB2312" w:cs="仿宋_GB2312" w:eastAsia="仿宋_GB2312"/>
                <w:sz w:val="24"/>
              </w:rPr>
              <w:t>8</w:t>
            </w:r>
            <w:r>
              <w:rPr>
                <w:rFonts w:ascii="仿宋_GB2312" w:hAnsi="仿宋_GB2312" w:cs="仿宋_GB2312" w:eastAsia="仿宋_GB2312"/>
                <w:sz w:val="24"/>
              </w:rPr>
              <w:t>核，</w:t>
            </w:r>
            <w:r>
              <w:rPr>
                <w:rFonts w:ascii="仿宋_GB2312" w:hAnsi="仿宋_GB2312" w:cs="仿宋_GB2312" w:eastAsia="仿宋_GB2312"/>
                <w:sz w:val="24"/>
              </w:rPr>
              <w:t>CPU</w:t>
            </w:r>
            <w:r>
              <w:rPr>
                <w:rFonts w:ascii="仿宋_GB2312" w:hAnsi="仿宋_GB2312" w:cs="仿宋_GB2312" w:eastAsia="仿宋_GB2312"/>
                <w:sz w:val="24"/>
              </w:rPr>
              <w:t>主频≥</w:t>
            </w:r>
            <w:r>
              <w:rPr>
                <w:rFonts w:ascii="仿宋_GB2312" w:hAnsi="仿宋_GB2312" w:cs="仿宋_GB2312" w:eastAsia="仿宋_GB2312"/>
                <w:sz w:val="24"/>
              </w:rPr>
              <w:t>2.4Ghz</w:t>
            </w:r>
            <w:r>
              <w:rPr>
                <w:rFonts w:ascii="仿宋_GB2312" w:hAnsi="仿宋_GB2312" w:cs="仿宋_GB2312" w:eastAsia="仿宋_GB2312"/>
                <w:sz w:val="24"/>
              </w:rPr>
              <w:t>。</w:t>
            </w:r>
          </w:p>
          <w:p>
            <w:pPr>
              <w:pStyle w:val="null3"/>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）操作系统要求：定制双系统；两个操作系统运行在不同的</w:t>
            </w:r>
            <w:r>
              <w:rPr>
                <w:rFonts w:ascii="仿宋_GB2312" w:hAnsi="仿宋_GB2312" w:cs="仿宋_GB2312" w:eastAsia="仿宋_GB2312"/>
                <w:sz w:val="24"/>
              </w:rPr>
              <w:t>ROM</w:t>
            </w:r>
            <w:r>
              <w:rPr>
                <w:rFonts w:ascii="仿宋_GB2312" w:hAnsi="仿宋_GB2312" w:cs="仿宋_GB2312" w:eastAsia="仿宋_GB2312"/>
                <w:sz w:val="24"/>
              </w:rPr>
              <w:t>空间，系统文件独立；通话记录、通讯录、图片、视频以及其他信息不能相互访问；两个操作系统间支持一键快速切换、指纹切换、</w:t>
            </w:r>
            <w:r>
              <w:rPr>
                <w:rFonts w:ascii="仿宋_GB2312" w:hAnsi="仿宋_GB2312" w:cs="仿宋_GB2312" w:eastAsia="仿宋_GB2312"/>
                <w:sz w:val="24"/>
              </w:rPr>
              <w:t>NFC</w:t>
            </w:r>
            <w:r>
              <w:rPr>
                <w:rFonts w:ascii="仿宋_GB2312" w:hAnsi="仿宋_GB2312" w:cs="仿宋_GB2312" w:eastAsia="仿宋_GB2312"/>
                <w:sz w:val="24"/>
              </w:rPr>
              <w:t>感应切换；某一个系统瘫痪不会影响另一个系统的运行。系统兼容</w:t>
            </w:r>
            <w:r>
              <w:rPr>
                <w:rFonts w:ascii="仿宋_GB2312" w:hAnsi="仿宋_GB2312" w:cs="仿宋_GB2312" w:eastAsia="仿宋_GB2312"/>
                <w:sz w:val="24"/>
              </w:rPr>
              <w:t>Android14.0</w:t>
            </w:r>
            <w:r>
              <w:rPr>
                <w:rFonts w:ascii="仿宋_GB2312" w:hAnsi="仿宋_GB2312" w:cs="仿宋_GB2312" w:eastAsia="仿宋_GB2312"/>
                <w:sz w:val="24"/>
              </w:rPr>
              <w:t>操作系统、</w:t>
            </w:r>
            <w:r>
              <w:rPr>
                <w:rFonts w:ascii="仿宋_GB2312" w:hAnsi="仿宋_GB2312" w:cs="仿宋_GB2312" w:eastAsia="仿宋_GB2312"/>
                <w:sz w:val="24"/>
              </w:rPr>
              <w:t>Harmony OS4.2</w:t>
            </w:r>
            <w:r>
              <w:rPr>
                <w:rFonts w:ascii="仿宋_GB2312" w:hAnsi="仿宋_GB2312" w:cs="仿宋_GB2312" w:eastAsia="仿宋_GB2312"/>
                <w:sz w:val="24"/>
              </w:rPr>
              <w:t>、</w:t>
            </w:r>
            <w:r>
              <w:rPr>
                <w:rFonts w:ascii="仿宋_GB2312" w:hAnsi="仿宋_GB2312" w:cs="仿宋_GB2312" w:eastAsia="仿宋_GB2312"/>
                <w:sz w:val="24"/>
              </w:rPr>
              <w:t>MagicOS8.0</w:t>
            </w:r>
            <w:r>
              <w:rPr>
                <w:rFonts w:ascii="仿宋_GB2312" w:hAnsi="仿宋_GB2312" w:cs="仿宋_GB2312" w:eastAsia="仿宋_GB2312"/>
                <w:sz w:val="24"/>
              </w:rPr>
              <w:t>及以上。</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）网络要求：双卡双待双通道，支持全网通。</w:t>
            </w:r>
          </w:p>
          <w:p>
            <w:pPr>
              <w:pStyle w:val="null3"/>
              <w:jc w:val="both"/>
            </w:pPr>
            <w:r>
              <w:rPr>
                <w:rFonts w:ascii="仿宋_GB2312" w:hAnsi="仿宋_GB2312" w:cs="仿宋_GB2312" w:eastAsia="仿宋_GB2312"/>
                <w:sz w:val="24"/>
              </w:rPr>
              <w:t>5G</w:t>
            </w:r>
            <w:r>
              <w:rPr>
                <w:rFonts w:ascii="仿宋_GB2312" w:hAnsi="仿宋_GB2312" w:cs="仿宋_GB2312" w:eastAsia="仿宋_GB2312"/>
                <w:sz w:val="24"/>
              </w:rPr>
              <w:t>网络制式</w:t>
            </w:r>
            <w:r>
              <w:rPr>
                <w:rFonts w:ascii="仿宋_GB2312" w:hAnsi="仿宋_GB2312" w:cs="仿宋_GB2312" w:eastAsia="仿宋_GB2312"/>
                <w:sz w:val="24"/>
              </w:rPr>
              <w:t>:</w:t>
            </w:r>
            <w:r>
              <w:rPr>
                <w:rFonts w:ascii="仿宋_GB2312" w:hAnsi="仿宋_GB2312" w:cs="仿宋_GB2312" w:eastAsia="仿宋_GB2312"/>
                <w:sz w:val="24"/>
              </w:rPr>
              <w:t>移动</w:t>
            </w:r>
            <w:r>
              <w:rPr>
                <w:rFonts w:ascii="仿宋_GB2312" w:hAnsi="仿宋_GB2312" w:cs="仿宋_GB2312" w:eastAsia="仿宋_GB2312"/>
                <w:sz w:val="24"/>
              </w:rPr>
              <w:t>5G(NR)/</w:t>
            </w:r>
            <w:r>
              <w:rPr>
                <w:rFonts w:ascii="仿宋_GB2312" w:hAnsi="仿宋_GB2312" w:cs="仿宋_GB2312" w:eastAsia="仿宋_GB2312"/>
                <w:sz w:val="24"/>
              </w:rPr>
              <w:t>联通</w:t>
            </w:r>
            <w:r>
              <w:rPr>
                <w:rFonts w:ascii="仿宋_GB2312" w:hAnsi="仿宋_GB2312" w:cs="仿宋_GB2312" w:eastAsia="仿宋_GB2312"/>
                <w:sz w:val="24"/>
              </w:rPr>
              <w:t>5G(NR)/</w:t>
            </w:r>
            <w:r>
              <w:rPr>
                <w:rFonts w:ascii="仿宋_GB2312" w:hAnsi="仿宋_GB2312" w:cs="仿宋_GB2312" w:eastAsia="仿宋_GB2312"/>
                <w:sz w:val="24"/>
              </w:rPr>
              <w:t>电信</w:t>
            </w:r>
            <w:r>
              <w:rPr>
                <w:rFonts w:ascii="仿宋_GB2312" w:hAnsi="仿宋_GB2312" w:cs="仿宋_GB2312" w:eastAsia="仿宋_GB2312"/>
                <w:sz w:val="24"/>
              </w:rPr>
              <w:t>5G(NR)</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4G</w:t>
            </w:r>
            <w:r>
              <w:rPr>
                <w:rFonts w:ascii="仿宋_GB2312" w:hAnsi="仿宋_GB2312" w:cs="仿宋_GB2312" w:eastAsia="仿宋_GB2312"/>
                <w:sz w:val="24"/>
              </w:rPr>
              <w:t>网络制式</w:t>
            </w:r>
            <w:r>
              <w:rPr>
                <w:rFonts w:ascii="仿宋_GB2312" w:hAnsi="仿宋_GB2312" w:cs="仿宋_GB2312" w:eastAsia="仿宋_GB2312"/>
                <w:sz w:val="24"/>
              </w:rPr>
              <w:t>:</w:t>
            </w:r>
            <w:r>
              <w:rPr>
                <w:rFonts w:ascii="仿宋_GB2312" w:hAnsi="仿宋_GB2312" w:cs="仿宋_GB2312" w:eastAsia="仿宋_GB2312"/>
                <w:sz w:val="24"/>
              </w:rPr>
              <w:t>移动</w:t>
            </w:r>
            <w:r>
              <w:rPr>
                <w:rFonts w:ascii="仿宋_GB2312" w:hAnsi="仿宋_GB2312" w:cs="仿宋_GB2312" w:eastAsia="仿宋_GB2312"/>
                <w:sz w:val="24"/>
              </w:rPr>
              <w:t>/</w:t>
            </w:r>
            <w:r>
              <w:rPr>
                <w:rFonts w:ascii="仿宋_GB2312" w:hAnsi="仿宋_GB2312" w:cs="仿宋_GB2312" w:eastAsia="仿宋_GB2312"/>
                <w:sz w:val="24"/>
              </w:rPr>
              <w:t>联通</w:t>
            </w:r>
            <w:r>
              <w:rPr>
                <w:rFonts w:ascii="仿宋_GB2312" w:hAnsi="仿宋_GB2312" w:cs="仿宋_GB2312" w:eastAsia="仿宋_GB2312"/>
                <w:sz w:val="24"/>
              </w:rPr>
              <w:t>/</w:t>
            </w:r>
            <w:r>
              <w:rPr>
                <w:rFonts w:ascii="仿宋_GB2312" w:hAnsi="仿宋_GB2312" w:cs="仿宋_GB2312" w:eastAsia="仿宋_GB2312"/>
                <w:sz w:val="24"/>
              </w:rPr>
              <w:t>电信</w:t>
            </w:r>
            <w:r>
              <w:rPr>
                <w:rFonts w:ascii="仿宋_GB2312" w:hAnsi="仿宋_GB2312" w:cs="仿宋_GB2312" w:eastAsia="仿宋_GB2312"/>
                <w:sz w:val="24"/>
              </w:rPr>
              <w:t>4G</w:t>
            </w:r>
            <w:r>
              <w:rPr>
                <w:rFonts w:ascii="仿宋_GB2312" w:hAnsi="仿宋_GB2312" w:cs="仿宋_GB2312" w:eastAsia="仿宋_GB2312"/>
                <w:sz w:val="24"/>
              </w:rPr>
              <w:t>主副卡支持</w:t>
            </w:r>
            <w:r>
              <w:rPr>
                <w:rFonts w:ascii="仿宋_GB2312" w:hAnsi="仿宋_GB2312" w:cs="仿宋_GB2312" w:eastAsia="仿宋_GB2312"/>
                <w:sz w:val="24"/>
              </w:rPr>
              <w:t xml:space="preserve"> TD-LTE/FDD-LTE</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3G</w:t>
            </w:r>
            <w:r>
              <w:rPr>
                <w:rFonts w:ascii="仿宋_GB2312" w:hAnsi="仿宋_GB2312" w:cs="仿宋_GB2312" w:eastAsia="仿宋_GB2312"/>
                <w:sz w:val="24"/>
              </w:rPr>
              <w:t>网络制式</w:t>
            </w:r>
            <w:r>
              <w:rPr>
                <w:rFonts w:ascii="仿宋_GB2312" w:hAnsi="仿宋_GB2312" w:cs="仿宋_GB2312" w:eastAsia="仿宋_GB2312"/>
                <w:sz w:val="24"/>
              </w:rPr>
              <w:t>:</w:t>
            </w:r>
            <w:r>
              <w:rPr>
                <w:rFonts w:ascii="仿宋_GB2312" w:hAnsi="仿宋_GB2312" w:cs="仿宋_GB2312" w:eastAsia="仿宋_GB2312"/>
                <w:sz w:val="24"/>
              </w:rPr>
              <w:t>主卡</w:t>
            </w:r>
            <w:r>
              <w:rPr>
                <w:rFonts w:ascii="仿宋_GB2312" w:hAnsi="仿宋_GB2312" w:cs="仿宋_GB2312" w:eastAsia="仿宋_GB2312"/>
                <w:sz w:val="24"/>
              </w:rPr>
              <w:t>:</w:t>
            </w:r>
            <w:r>
              <w:rPr>
                <w:rFonts w:ascii="仿宋_GB2312" w:hAnsi="仿宋_GB2312" w:cs="仿宋_GB2312" w:eastAsia="仿宋_GB2312"/>
                <w:sz w:val="24"/>
              </w:rPr>
              <w:t>联通</w:t>
            </w:r>
            <w:r>
              <w:rPr>
                <w:rFonts w:ascii="仿宋_GB2312" w:hAnsi="仿宋_GB2312" w:cs="仿宋_GB2312" w:eastAsia="仿宋_GB2312"/>
                <w:sz w:val="24"/>
              </w:rPr>
              <w:t>3G(WCDMA)/</w:t>
            </w:r>
            <w:r>
              <w:rPr>
                <w:rFonts w:ascii="仿宋_GB2312" w:hAnsi="仿宋_GB2312" w:cs="仿宋_GB2312" w:eastAsia="仿宋_GB2312"/>
                <w:sz w:val="24"/>
              </w:rPr>
              <w:t>电信</w:t>
            </w:r>
            <w:r>
              <w:rPr>
                <w:rFonts w:ascii="仿宋_GB2312" w:hAnsi="仿宋_GB2312" w:cs="仿宋_GB2312" w:eastAsia="仿宋_GB2312"/>
                <w:sz w:val="24"/>
              </w:rPr>
              <w:t>3G(CDMA 2000);</w:t>
            </w:r>
            <w:r>
              <w:rPr>
                <w:rFonts w:ascii="仿宋_GB2312" w:hAnsi="仿宋_GB2312" w:cs="仿宋_GB2312" w:eastAsia="仿宋_GB2312"/>
                <w:sz w:val="24"/>
              </w:rPr>
              <w:t>副卡</w:t>
            </w:r>
            <w:r>
              <w:rPr>
                <w:rFonts w:ascii="仿宋_GB2312" w:hAnsi="仿宋_GB2312" w:cs="仿宋_GB2312" w:eastAsia="仿宋_GB2312"/>
                <w:sz w:val="24"/>
              </w:rPr>
              <w:t>:</w:t>
            </w:r>
            <w:r>
              <w:rPr>
                <w:rFonts w:ascii="仿宋_GB2312" w:hAnsi="仿宋_GB2312" w:cs="仿宋_GB2312" w:eastAsia="仿宋_GB2312"/>
                <w:sz w:val="24"/>
              </w:rPr>
              <w:t>联通</w:t>
            </w:r>
            <w:r>
              <w:rPr>
                <w:rFonts w:ascii="仿宋_GB2312" w:hAnsi="仿宋_GB2312" w:cs="仿宋_GB2312" w:eastAsia="仿宋_GB2312"/>
                <w:sz w:val="24"/>
              </w:rPr>
              <w:t>3G(WCDMA)</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2G</w:t>
            </w:r>
            <w:r>
              <w:rPr>
                <w:rFonts w:ascii="仿宋_GB2312" w:hAnsi="仿宋_GB2312" w:cs="仿宋_GB2312" w:eastAsia="仿宋_GB2312"/>
                <w:sz w:val="24"/>
              </w:rPr>
              <w:t>网络制式</w:t>
            </w:r>
            <w:r>
              <w:rPr>
                <w:rFonts w:ascii="仿宋_GB2312" w:hAnsi="仿宋_GB2312" w:cs="仿宋_GB2312" w:eastAsia="仿宋_GB2312"/>
                <w:sz w:val="24"/>
              </w:rPr>
              <w:t>:</w:t>
            </w:r>
            <w:r>
              <w:rPr>
                <w:rFonts w:ascii="仿宋_GB2312" w:hAnsi="仿宋_GB2312" w:cs="仿宋_GB2312" w:eastAsia="仿宋_GB2312"/>
                <w:sz w:val="24"/>
              </w:rPr>
              <w:t>主卡</w:t>
            </w:r>
            <w:r>
              <w:rPr>
                <w:rFonts w:ascii="仿宋_GB2312" w:hAnsi="仿宋_GB2312" w:cs="仿宋_GB2312" w:eastAsia="仿宋_GB2312"/>
                <w:sz w:val="24"/>
              </w:rPr>
              <w:t>:</w:t>
            </w:r>
            <w:r>
              <w:rPr>
                <w:rFonts w:ascii="仿宋_GB2312" w:hAnsi="仿宋_GB2312" w:cs="仿宋_GB2312" w:eastAsia="仿宋_GB2312"/>
                <w:sz w:val="24"/>
              </w:rPr>
              <w:t>移动</w:t>
            </w:r>
            <w:r>
              <w:rPr>
                <w:rFonts w:ascii="仿宋_GB2312" w:hAnsi="仿宋_GB2312" w:cs="仿宋_GB2312" w:eastAsia="仿宋_GB2312"/>
                <w:sz w:val="24"/>
              </w:rPr>
              <w:t>2G(GSM)/</w:t>
            </w:r>
            <w:r>
              <w:rPr>
                <w:rFonts w:ascii="仿宋_GB2312" w:hAnsi="仿宋_GB2312" w:cs="仿宋_GB2312" w:eastAsia="仿宋_GB2312"/>
                <w:sz w:val="24"/>
              </w:rPr>
              <w:t>联通</w:t>
            </w:r>
            <w:r>
              <w:rPr>
                <w:rFonts w:ascii="仿宋_GB2312" w:hAnsi="仿宋_GB2312" w:cs="仿宋_GB2312" w:eastAsia="仿宋_GB2312"/>
                <w:sz w:val="24"/>
              </w:rPr>
              <w:t>2G(GSM)/</w:t>
            </w:r>
            <w:r>
              <w:rPr>
                <w:rFonts w:ascii="仿宋_GB2312" w:hAnsi="仿宋_GB2312" w:cs="仿宋_GB2312" w:eastAsia="仿宋_GB2312"/>
                <w:sz w:val="24"/>
              </w:rPr>
              <w:t>电信</w:t>
            </w:r>
            <w:r>
              <w:rPr>
                <w:rFonts w:ascii="仿宋_GB2312" w:hAnsi="仿宋_GB2312" w:cs="仿宋_GB2312" w:eastAsia="仿宋_GB2312"/>
                <w:sz w:val="24"/>
              </w:rPr>
              <w:t xml:space="preserve"> 2G(CDMA1X);</w:t>
            </w:r>
            <w:r>
              <w:rPr>
                <w:rFonts w:ascii="仿宋_GB2312" w:hAnsi="仿宋_GB2312" w:cs="仿宋_GB2312" w:eastAsia="仿宋_GB2312"/>
                <w:sz w:val="24"/>
              </w:rPr>
              <w:t>副卡</w:t>
            </w:r>
            <w:r>
              <w:rPr>
                <w:rFonts w:ascii="仿宋_GB2312" w:hAnsi="仿宋_GB2312" w:cs="仿宋_GB2312" w:eastAsia="仿宋_GB2312"/>
                <w:sz w:val="24"/>
              </w:rPr>
              <w:t>:</w:t>
            </w:r>
            <w:r>
              <w:rPr>
                <w:rFonts w:ascii="仿宋_GB2312" w:hAnsi="仿宋_GB2312" w:cs="仿宋_GB2312" w:eastAsia="仿宋_GB2312"/>
                <w:sz w:val="24"/>
              </w:rPr>
              <w:t>移动</w:t>
            </w:r>
            <w:r>
              <w:rPr>
                <w:rFonts w:ascii="仿宋_GB2312" w:hAnsi="仿宋_GB2312" w:cs="仿宋_GB2312" w:eastAsia="仿宋_GB2312"/>
                <w:sz w:val="24"/>
              </w:rPr>
              <w:t>2G(GSM)/</w:t>
            </w:r>
            <w:r>
              <w:rPr>
                <w:rFonts w:ascii="仿宋_GB2312" w:hAnsi="仿宋_GB2312" w:cs="仿宋_GB2312" w:eastAsia="仿宋_GB2312"/>
                <w:sz w:val="24"/>
              </w:rPr>
              <w:t>联通</w:t>
            </w:r>
            <w:r>
              <w:rPr>
                <w:rFonts w:ascii="仿宋_GB2312" w:hAnsi="仿宋_GB2312" w:cs="仿宋_GB2312" w:eastAsia="仿宋_GB2312"/>
                <w:sz w:val="24"/>
              </w:rPr>
              <w:t>2G(GSM)/</w:t>
            </w:r>
            <w:r>
              <w:rPr>
                <w:rFonts w:ascii="仿宋_GB2312" w:hAnsi="仿宋_GB2312" w:cs="仿宋_GB2312" w:eastAsia="仿宋_GB2312"/>
                <w:sz w:val="24"/>
              </w:rPr>
              <w:t>电信</w:t>
            </w:r>
            <w:r>
              <w:rPr>
                <w:rFonts w:ascii="仿宋_GB2312" w:hAnsi="仿宋_GB2312" w:cs="仿宋_GB2312" w:eastAsia="仿宋_GB2312"/>
                <w:sz w:val="24"/>
              </w:rPr>
              <w:t xml:space="preserve"> 2G (CDMA 1X)</w:t>
            </w:r>
            <w:r>
              <w:rPr>
                <w:rFonts w:ascii="仿宋_GB2312" w:hAnsi="仿宋_GB2312" w:cs="仿宋_GB2312" w:eastAsia="仿宋_GB2312"/>
                <w:sz w:val="24"/>
              </w:rPr>
              <w:t>。</w:t>
            </w:r>
          </w:p>
          <w:p>
            <w:pPr>
              <w:pStyle w:val="null3"/>
            </w:pPr>
            <w:r>
              <w:rPr>
                <w:rFonts w:ascii="仿宋_GB2312" w:hAnsi="仿宋_GB2312" w:cs="仿宋_GB2312" w:eastAsia="仿宋_GB2312"/>
                <w:sz w:val="24"/>
              </w:rPr>
              <w:t>（4）存储服务：运行内存（RAM）≥12 GB，机身内存（ROM）≥512 G；</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4"/>
              </w:rPr>
              <w:t>显示屏要求：</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）尺寸：≥</w:t>
            </w:r>
            <w:r>
              <w:rPr>
                <w:rFonts w:ascii="仿宋_GB2312" w:hAnsi="仿宋_GB2312" w:cs="仿宋_GB2312" w:eastAsia="仿宋_GB2312"/>
                <w:sz w:val="24"/>
              </w:rPr>
              <w:t>6.7</w:t>
            </w:r>
            <w:r>
              <w:rPr>
                <w:rFonts w:ascii="仿宋_GB2312" w:hAnsi="仿宋_GB2312" w:cs="仿宋_GB2312" w:eastAsia="仿宋_GB2312"/>
                <w:sz w:val="24"/>
              </w:rPr>
              <w:t>英寸。</w:t>
            </w:r>
          </w:p>
          <w:p>
            <w:pPr>
              <w:pStyle w:val="null3"/>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）类别：</w:t>
            </w:r>
            <w:r>
              <w:rPr>
                <w:rFonts w:ascii="仿宋_GB2312" w:hAnsi="仿宋_GB2312" w:cs="仿宋_GB2312" w:eastAsia="仿宋_GB2312"/>
                <w:sz w:val="24"/>
              </w:rPr>
              <w:t>OLED</w:t>
            </w:r>
          </w:p>
          <w:p>
            <w:pPr>
              <w:pStyle w:val="null3"/>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）分辨率：≥</w:t>
            </w:r>
            <w:r>
              <w:rPr>
                <w:rFonts w:ascii="仿宋_GB2312" w:hAnsi="仿宋_GB2312" w:cs="仿宋_GB2312" w:eastAsia="仿宋_GB2312"/>
                <w:sz w:val="24"/>
              </w:rPr>
              <w:t xml:space="preserve"> 2776 </w:t>
            </w:r>
            <w:r>
              <w:rPr>
                <w:rFonts w:ascii="仿宋_GB2312" w:hAnsi="仿宋_GB2312" w:cs="仿宋_GB2312" w:eastAsia="仿宋_GB2312"/>
                <w:sz w:val="24"/>
              </w:rPr>
              <w:t>×</w:t>
            </w:r>
            <w:r>
              <w:rPr>
                <w:rFonts w:ascii="仿宋_GB2312" w:hAnsi="仿宋_GB2312" w:cs="仿宋_GB2312" w:eastAsia="仿宋_GB2312"/>
                <w:sz w:val="24"/>
              </w:rPr>
              <w:t xml:space="preserve"> 1224 </w:t>
            </w:r>
            <w:r>
              <w:rPr>
                <w:rFonts w:ascii="仿宋_GB2312" w:hAnsi="仿宋_GB2312" w:cs="仿宋_GB2312" w:eastAsia="仿宋_GB2312"/>
                <w:sz w:val="24"/>
              </w:rPr>
              <w:t>像素</w:t>
            </w:r>
          </w:p>
          <w:p>
            <w:pPr>
              <w:pStyle w:val="null3"/>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）屏幕刷新率≥</w:t>
            </w:r>
            <w:r>
              <w:rPr>
                <w:rFonts w:ascii="仿宋_GB2312" w:hAnsi="仿宋_GB2312" w:cs="仿宋_GB2312" w:eastAsia="仿宋_GB2312"/>
                <w:sz w:val="24"/>
              </w:rPr>
              <w:t>120Hz</w:t>
            </w:r>
          </w:p>
          <w:p>
            <w:pPr>
              <w:pStyle w:val="null3"/>
            </w:pPr>
            <w:r>
              <w:rPr>
                <w:rFonts w:ascii="仿宋_GB2312" w:hAnsi="仿宋_GB2312" w:cs="仿宋_GB2312" w:eastAsia="仿宋_GB2312"/>
                <w:sz w:val="24"/>
              </w:rPr>
              <w:t>（5）色彩：10.7亿色</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4"/>
              </w:rPr>
              <w:t>拍摄功能要求：</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）后置摄像头：不低于</w:t>
            </w:r>
            <w:r>
              <w:rPr>
                <w:rFonts w:ascii="仿宋_GB2312" w:hAnsi="仿宋_GB2312" w:cs="仿宋_GB2312" w:eastAsia="仿宋_GB2312"/>
                <w:sz w:val="24"/>
              </w:rPr>
              <w:t>5000</w:t>
            </w:r>
            <w:r>
              <w:rPr>
                <w:rFonts w:ascii="仿宋_GB2312" w:hAnsi="仿宋_GB2312" w:cs="仿宋_GB2312" w:eastAsia="仿宋_GB2312"/>
                <w:sz w:val="24"/>
              </w:rPr>
              <w:t>万像素</w:t>
            </w:r>
          </w:p>
          <w:p>
            <w:pPr>
              <w:pStyle w:val="null3"/>
            </w:pPr>
            <w:r>
              <w:rPr>
                <w:rFonts w:ascii="仿宋_GB2312" w:hAnsi="仿宋_GB2312" w:cs="仿宋_GB2312" w:eastAsia="仿宋_GB2312"/>
                <w:sz w:val="24"/>
              </w:rPr>
              <w:t>（2）前置摄像头：不低于5000万像素</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sz w:val="24"/>
              </w:rPr>
              <w:t>传输功能要求：</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NFC</w:t>
            </w:r>
            <w:r>
              <w:rPr>
                <w:rFonts w:ascii="仿宋_GB2312" w:hAnsi="仿宋_GB2312" w:cs="仿宋_GB2312" w:eastAsia="仿宋_GB2312"/>
                <w:sz w:val="24"/>
              </w:rPr>
              <w:t>：支持读卡器模式、点对点模式、卡模拟模式（钱包支付，</w:t>
            </w:r>
            <w:r>
              <w:rPr>
                <w:rFonts w:ascii="仿宋_GB2312" w:hAnsi="仿宋_GB2312" w:cs="仿宋_GB2312" w:eastAsia="仿宋_GB2312"/>
                <w:sz w:val="24"/>
              </w:rPr>
              <w:t xml:space="preserve">SIM </w:t>
            </w:r>
            <w:r>
              <w:rPr>
                <w:rFonts w:ascii="仿宋_GB2312" w:hAnsi="仿宋_GB2312" w:cs="仿宋_GB2312" w:eastAsia="仿宋_GB2312"/>
                <w:sz w:val="24"/>
              </w:rPr>
              <w:t>卡支付，</w:t>
            </w:r>
            <w:r>
              <w:rPr>
                <w:rFonts w:ascii="仿宋_GB2312" w:hAnsi="仿宋_GB2312" w:cs="仿宋_GB2312" w:eastAsia="仿宋_GB2312"/>
                <w:sz w:val="24"/>
              </w:rPr>
              <w:t>HCE</w:t>
            </w:r>
            <w:r>
              <w:rPr>
                <w:rFonts w:ascii="仿宋_GB2312" w:hAnsi="仿宋_GB2312" w:cs="仿宋_GB2312" w:eastAsia="仿宋_GB2312"/>
                <w:sz w:val="24"/>
              </w:rPr>
              <w:t>支付），</w:t>
            </w:r>
            <w:r>
              <w:rPr>
                <w:rFonts w:ascii="仿宋_GB2312" w:hAnsi="仿宋_GB2312" w:cs="仿宋_GB2312" w:eastAsia="仿宋_GB2312"/>
                <w:sz w:val="24"/>
              </w:rPr>
              <w:t xml:space="preserve">SIM </w:t>
            </w:r>
            <w:r>
              <w:rPr>
                <w:rFonts w:ascii="仿宋_GB2312" w:hAnsi="仿宋_GB2312" w:cs="仿宋_GB2312" w:eastAsia="仿宋_GB2312"/>
                <w:sz w:val="24"/>
              </w:rPr>
              <w:t>卡只能放在</w:t>
            </w:r>
            <w:r>
              <w:rPr>
                <w:rFonts w:ascii="仿宋_GB2312" w:hAnsi="仿宋_GB2312" w:cs="仿宋_GB2312" w:eastAsia="仿宋_GB2312"/>
                <w:sz w:val="24"/>
              </w:rPr>
              <w:t>SIM1</w:t>
            </w:r>
            <w:r>
              <w:rPr>
                <w:rFonts w:ascii="仿宋_GB2312" w:hAnsi="仿宋_GB2312" w:cs="仿宋_GB2312" w:eastAsia="仿宋_GB2312"/>
                <w:sz w:val="24"/>
              </w:rPr>
              <w:t>卡槽。</w:t>
            </w:r>
          </w:p>
          <w:p>
            <w:pPr>
              <w:pStyle w:val="null3"/>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GPS</w:t>
            </w:r>
            <w:r>
              <w:rPr>
                <w:rFonts w:ascii="仿宋_GB2312" w:hAnsi="仿宋_GB2312" w:cs="仿宋_GB2312" w:eastAsia="仿宋_GB2312"/>
                <w:sz w:val="24"/>
              </w:rPr>
              <w:t>：支持</w:t>
            </w:r>
            <w:r>
              <w:rPr>
                <w:rFonts w:ascii="仿宋_GB2312" w:hAnsi="仿宋_GB2312" w:cs="仿宋_GB2312" w:eastAsia="仿宋_GB2312"/>
                <w:sz w:val="24"/>
              </w:rPr>
              <w:t xml:space="preserve"> GPS</w:t>
            </w:r>
            <w:r>
              <w:rPr>
                <w:rFonts w:ascii="仿宋_GB2312" w:hAnsi="仿宋_GB2312" w:cs="仿宋_GB2312" w:eastAsia="仿宋_GB2312"/>
                <w:sz w:val="24"/>
              </w:rPr>
              <w:t>（</w:t>
            </w:r>
            <w:r>
              <w:rPr>
                <w:rFonts w:ascii="仿宋_GB2312" w:hAnsi="仿宋_GB2312" w:cs="仿宋_GB2312" w:eastAsia="仿宋_GB2312"/>
                <w:sz w:val="24"/>
              </w:rPr>
              <w:t>L1+L5</w:t>
            </w:r>
            <w:r>
              <w:rPr>
                <w:rFonts w:ascii="仿宋_GB2312" w:hAnsi="仿宋_GB2312" w:cs="仿宋_GB2312" w:eastAsia="仿宋_GB2312"/>
                <w:sz w:val="24"/>
              </w:rPr>
              <w:t>双频）</w:t>
            </w:r>
            <w:r>
              <w:rPr>
                <w:rFonts w:ascii="仿宋_GB2312" w:hAnsi="仿宋_GB2312" w:cs="仿宋_GB2312" w:eastAsia="仿宋_GB2312"/>
                <w:sz w:val="24"/>
              </w:rPr>
              <w:t>/AGPS/Glonass/</w:t>
            </w:r>
            <w:r>
              <w:rPr>
                <w:rFonts w:ascii="仿宋_GB2312" w:hAnsi="仿宋_GB2312" w:cs="仿宋_GB2312" w:eastAsia="仿宋_GB2312"/>
                <w:sz w:val="24"/>
              </w:rPr>
              <w:t>北斗</w:t>
            </w:r>
            <w:r>
              <w:rPr>
                <w:rFonts w:ascii="仿宋_GB2312" w:hAnsi="仿宋_GB2312" w:cs="仿宋_GB2312" w:eastAsia="仿宋_GB2312"/>
                <w:sz w:val="24"/>
              </w:rPr>
              <w:t>/GALILEO</w:t>
            </w:r>
            <w:r>
              <w:rPr>
                <w:rFonts w:ascii="仿宋_GB2312" w:hAnsi="仿宋_GB2312" w:cs="仿宋_GB2312" w:eastAsia="仿宋_GB2312"/>
                <w:sz w:val="24"/>
              </w:rPr>
              <w:t>（</w:t>
            </w:r>
            <w:r>
              <w:rPr>
                <w:rFonts w:ascii="仿宋_GB2312" w:hAnsi="仿宋_GB2312" w:cs="仿宋_GB2312" w:eastAsia="仿宋_GB2312"/>
                <w:sz w:val="24"/>
              </w:rPr>
              <w:t>E1+E5a+E5b</w:t>
            </w:r>
            <w:r>
              <w:rPr>
                <w:rFonts w:ascii="仿宋_GB2312" w:hAnsi="仿宋_GB2312" w:cs="仿宋_GB2312" w:eastAsia="仿宋_GB2312"/>
                <w:sz w:val="24"/>
              </w:rPr>
              <w:t>三频）</w:t>
            </w:r>
            <w:r>
              <w:rPr>
                <w:rFonts w:ascii="仿宋_GB2312" w:hAnsi="仿宋_GB2312" w:cs="仿宋_GB2312" w:eastAsia="仿宋_GB2312"/>
                <w:sz w:val="24"/>
              </w:rPr>
              <w:t>/QZSS</w:t>
            </w:r>
            <w:r>
              <w:rPr>
                <w:rFonts w:ascii="仿宋_GB2312" w:hAnsi="仿宋_GB2312" w:cs="仿宋_GB2312" w:eastAsia="仿宋_GB2312"/>
                <w:sz w:val="24"/>
              </w:rPr>
              <w:t>（</w:t>
            </w:r>
            <w:r>
              <w:rPr>
                <w:rFonts w:ascii="仿宋_GB2312" w:hAnsi="仿宋_GB2312" w:cs="仿宋_GB2312" w:eastAsia="仿宋_GB2312"/>
                <w:sz w:val="24"/>
              </w:rPr>
              <w:t>L1+L5</w:t>
            </w:r>
            <w:r>
              <w:rPr>
                <w:rFonts w:ascii="仿宋_GB2312" w:hAnsi="仿宋_GB2312" w:cs="仿宋_GB2312" w:eastAsia="仿宋_GB2312"/>
                <w:sz w:val="24"/>
              </w:rPr>
              <w:t>双频）等；</w:t>
            </w:r>
          </w:p>
          <w:p>
            <w:pPr>
              <w:pStyle w:val="null3"/>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）蓝牙：支持蓝牙</w:t>
            </w:r>
            <w:r>
              <w:rPr>
                <w:rFonts w:ascii="仿宋_GB2312" w:hAnsi="仿宋_GB2312" w:cs="仿宋_GB2312" w:eastAsia="仿宋_GB2312"/>
                <w:sz w:val="24"/>
              </w:rPr>
              <w:t>5.2</w:t>
            </w:r>
            <w:r>
              <w:rPr>
                <w:rFonts w:ascii="仿宋_GB2312" w:hAnsi="仿宋_GB2312" w:cs="仿宋_GB2312" w:eastAsia="仿宋_GB2312"/>
                <w:sz w:val="24"/>
              </w:rPr>
              <w:t>及以上，支持</w:t>
            </w:r>
            <w:r>
              <w:rPr>
                <w:rFonts w:ascii="仿宋_GB2312" w:hAnsi="仿宋_GB2312" w:cs="仿宋_GB2312" w:eastAsia="仿宋_GB2312"/>
                <w:sz w:val="24"/>
              </w:rPr>
              <w:t>BLE</w:t>
            </w:r>
            <w:r>
              <w:rPr>
                <w:rFonts w:ascii="仿宋_GB2312" w:hAnsi="仿宋_GB2312" w:cs="仿宋_GB2312" w:eastAsia="仿宋_GB2312"/>
                <w:sz w:val="24"/>
              </w:rPr>
              <w:t>、</w:t>
            </w:r>
            <w:r>
              <w:rPr>
                <w:rFonts w:ascii="仿宋_GB2312" w:hAnsi="仿宋_GB2312" w:cs="仿宋_GB2312" w:eastAsia="仿宋_GB2312"/>
                <w:sz w:val="24"/>
              </w:rPr>
              <w:t>SBC</w:t>
            </w:r>
            <w:r>
              <w:rPr>
                <w:rFonts w:ascii="仿宋_GB2312" w:hAnsi="仿宋_GB2312" w:cs="仿宋_GB2312" w:eastAsia="仿宋_GB2312"/>
                <w:sz w:val="24"/>
              </w:rPr>
              <w:t>、</w:t>
            </w:r>
            <w:r>
              <w:rPr>
                <w:rFonts w:ascii="仿宋_GB2312" w:hAnsi="仿宋_GB2312" w:cs="仿宋_GB2312" w:eastAsia="仿宋_GB2312"/>
                <w:sz w:val="24"/>
              </w:rPr>
              <w:t>AAC</w:t>
            </w:r>
            <w:r>
              <w:rPr>
                <w:rFonts w:ascii="仿宋_GB2312" w:hAnsi="仿宋_GB2312" w:cs="仿宋_GB2312" w:eastAsia="仿宋_GB2312"/>
                <w:sz w:val="24"/>
              </w:rPr>
              <w:t>、</w:t>
            </w:r>
            <w:r>
              <w:rPr>
                <w:rFonts w:ascii="仿宋_GB2312" w:hAnsi="仿宋_GB2312" w:cs="仿宋_GB2312" w:eastAsia="仿宋_GB2312"/>
                <w:sz w:val="24"/>
              </w:rPr>
              <w:t>LDAC</w:t>
            </w:r>
            <w:r>
              <w:rPr>
                <w:rFonts w:ascii="仿宋_GB2312" w:hAnsi="仿宋_GB2312" w:cs="仿宋_GB2312" w:eastAsia="仿宋_GB2312"/>
                <w:sz w:val="24"/>
              </w:rPr>
              <w:t>；</w:t>
            </w:r>
          </w:p>
          <w:p>
            <w:pPr>
              <w:pStyle w:val="null3"/>
            </w:pPr>
            <w:r>
              <w:rPr>
                <w:rFonts w:ascii="仿宋_GB2312" w:hAnsi="仿宋_GB2312" w:cs="仿宋_GB2312" w:eastAsia="仿宋_GB2312"/>
                <w:sz w:val="24"/>
              </w:rPr>
              <w:t>（4）WLAN:支持802.11 a/b/g/n/ac/ax。</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sz w:val="24"/>
              </w:rPr>
              <w:t>感应器：具有接近光传感器、环境光传感器、加速度传感器、指南针、陀螺仪；</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sz w:val="24"/>
              </w:rPr>
              <w:t>接口:至少支持USB 2.0、Type-C；</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sz w:val="24"/>
              </w:rPr>
              <w:t>网络：NR/TD-LTE/FDD LTE /WCDMA/CDMA/GSM，支持中国移动、中国联通、中国电信；</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sz w:val="24"/>
              </w:rPr>
              <w:t>其它要求：</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）电池容量≥</w:t>
            </w:r>
            <w:r>
              <w:rPr>
                <w:rFonts w:ascii="仿宋_GB2312" w:hAnsi="仿宋_GB2312" w:cs="仿宋_GB2312" w:eastAsia="仿宋_GB2312"/>
                <w:sz w:val="24"/>
              </w:rPr>
              <w:t>4900mAh</w:t>
            </w:r>
            <w:r>
              <w:rPr>
                <w:rFonts w:ascii="仿宋_GB2312" w:hAnsi="仿宋_GB2312" w:cs="仿宋_GB2312" w:eastAsia="仿宋_GB2312"/>
                <w:sz w:val="24"/>
              </w:rPr>
              <w:t>（额定值）；</w:t>
            </w:r>
          </w:p>
          <w:p>
            <w:pPr>
              <w:pStyle w:val="null3"/>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Type-C</w:t>
            </w:r>
            <w:r>
              <w:rPr>
                <w:rFonts w:ascii="仿宋_GB2312" w:hAnsi="仿宋_GB2312" w:cs="仿宋_GB2312" w:eastAsia="仿宋_GB2312"/>
                <w:sz w:val="24"/>
              </w:rPr>
              <w:t>数据线接口；</w:t>
            </w:r>
          </w:p>
          <w:p>
            <w:pPr>
              <w:pStyle w:val="null3"/>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）充电：支持不少于</w:t>
            </w:r>
            <w:r>
              <w:rPr>
                <w:rFonts w:ascii="仿宋_GB2312" w:hAnsi="仿宋_GB2312" w:cs="仿宋_GB2312" w:eastAsia="仿宋_GB2312"/>
                <w:sz w:val="24"/>
              </w:rPr>
              <w:t>80W</w:t>
            </w:r>
            <w:r>
              <w:rPr>
                <w:rFonts w:ascii="仿宋_GB2312" w:hAnsi="仿宋_GB2312" w:cs="仿宋_GB2312" w:eastAsia="仿宋_GB2312"/>
                <w:sz w:val="24"/>
              </w:rPr>
              <w:t>的有线快充；</w:t>
            </w:r>
            <w:r>
              <w:rPr>
                <w:rFonts w:ascii="仿宋_GB2312" w:hAnsi="仿宋_GB2312" w:cs="仿宋_GB2312" w:eastAsia="仿宋_GB2312"/>
                <w:sz w:val="20"/>
              </w:rPr>
              <w:t xml:space="preserve">   </w:t>
            </w:r>
          </w:p>
          <w:p>
            <w:pPr>
              <w:pStyle w:val="null3"/>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）机身颜色：亮黑色；</w:t>
            </w:r>
          </w:p>
          <w:p>
            <w:pPr>
              <w:pStyle w:val="null3"/>
            </w:pPr>
            <w:r>
              <w:rPr>
                <w:rFonts w:ascii="仿宋_GB2312" w:hAnsi="仿宋_GB2312" w:cs="仿宋_GB2312" w:eastAsia="仿宋_GB2312"/>
                <w:sz w:val="24"/>
              </w:rPr>
              <w:t>（5）触摸屏：多点触控，支持≥10点触控；</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24"/>
              </w:rPr>
              <w:t>配置清单：</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）手机：</w:t>
            </w:r>
            <w:r>
              <w:rPr>
                <w:rFonts w:ascii="仿宋_GB2312" w:hAnsi="仿宋_GB2312" w:cs="仿宋_GB2312" w:eastAsia="仿宋_GB2312"/>
                <w:sz w:val="24"/>
              </w:rPr>
              <w:t xml:space="preserve"> 1</w:t>
            </w:r>
            <w:r>
              <w:rPr>
                <w:rFonts w:ascii="仿宋_GB2312" w:hAnsi="仿宋_GB2312" w:cs="仿宋_GB2312" w:eastAsia="仿宋_GB2312"/>
                <w:sz w:val="24"/>
              </w:rPr>
              <w:t>部 标配；</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）电池（内置）：</w:t>
            </w:r>
            <w:r>
              <w:rPr>
                <w:rFonts w:ascii="仿宋_GB2312" w:hAnsi="仿宋_GB2312" w:cs="仿宋_GB2312" w:eastAsia="仿宋_GB2312"/>
                <w:sz w:val="24"/>
              </w:rPr>
              <w:t xml:space="preserve"> 1</w:t>
            </w:r>
            <w:r>
              <w:rPr>
                <w:rFonts w:ascii="仿宋_GB2312" w:hAnsi="仿宋_GB2312" w:cs="仿宋_GB2312" w:eastAsia="仿宋_GB2312"/>
                <w:sz w:val="24"/>
              </w:rPr>
              <w:t>块 标配；</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）使用指南：</w:t>
            </w:r>
            <w:r>
              <w:rPr>
                <w:rFonts w:ascii="仿宋_GB2312" w:hAnsi="仿宋_GB2312" w:cs="仿宋_GB2312" w:eastAsia="仿宋_GB2312"/>
                <w:sz w:val="24"/>
              </w:rPr>
              <w:t xml:space="preserve"> 1</w:t>
            </w:r>
            <w:r>
              <w:rPr>
                <w:rFonts w:ascii="仿宋_GB2312" w:hAnsi="仿宋_GB2312" w:cs="仿宋_GB2312" w:eastAsia="仿宋_GB2312"/>
                <w:sz w:val="24"/>
              </w:rPr>
              <w:t>册 标配；</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）取卡针：</w:t>
            </w:r>
            <w:r>
              <w:rPr>
                <w:rFonts w:ascii="仿宋_GB2312" w:hAnsi="仿宋_GB2312" w:cs="仿宋_GB2312" w:eastAsia="仿宋_GB2312"/>
                <w:sz w:val="24"/>
              </w:rPr>
              <w:t xml:space="preserve"> 1</w:t>
            </w:r>
            <w:r>
              <w:rPr>
                <w:rFonts w:ascii="仿宋_GB2312" w:hAnsi="仿宋_GB2312" w:cs="仿宋_GB2312" w:eastAsia="仿宋_GB2312"/>
                <w:sz w:val="24"/>
              </w:rPr>
              <w:t>个标配；</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）三包凭证：</w:t>
            </w:r>
            <w:r>
              <w:rPr>
                <w:rFonts w:ascii="仿宋_GB2312" w:hAnsi="仿宋_GB2312" w:cs="仿宋_GB2312" w:eastAsia="仿宋_GB2312"/>
                <w:sz w:val="24"/>
              </w:rPr>
              <w:t xml:space="preserve"> 1</w:t>
            </w:r>
            <w:r>
              <w:rPr>
                <w:rFonts w:ascii="仿宋_GB2312" w:hAnsi="仿宋_GB2312" w:cs="仿宋_GB2312" w:eastAsia="仿宋_GB2312"/>
                <w:sz w:val="24"/>
              </w:rPr>
              <w:t>册 标配；</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）超薄保护软壳：</w:t>
            </w:r>
            <w:r>
              <w:rPr>
                <w:rFonts w:ascii="仿宋_GB2312" w:hAnsi="仿宋_GB2312" w:cs="仿宋_GB2312" w:eastAsia="仿宋_GB2312"/>
                <w:sz w:val="24"/>
              </w:rPr>
              <w:t xml:space="preserve"> 1</w:t>
            </w:r>
            <w:r>
              <w:rPr>
                <w:rFonts w:ascii="仿宋_GB2312" w:hAnsi="仿宋_GB2312" w:cs="仿宋_GB2312" w:eastAsia="仿宋_GB2312"/>
                <w:sz w:val="24"/>
              </w:rPr>
              <w:t>个标配；</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）屏幕保护膜（出厂时已贴在手机上）：</w:t>
            </w:r>
            <w:r>
              <w:rPr>
                <w:rFonts w:ascii="仿宋_GB2312" w:hAnsi="仿宋_GB2312" w:cs="仿宋_GB2312" w:eastAsia="仿宋_GB2312"/>
                <w:sz w:val="24"/>
              </w:rPr>
              <w:t xml:space="preserve"> 1</w:t>
            </w:r>
            <w:r>
              <w:rPr>
                <w:rFonts w:ascii="仿宋_GB2312" w:hAnsi="仿宋_GB2312" w:cs="仿宋_GB2312" w:eastAsia="仿宋_GB2312"/>
                <w:sz w:val="24"/>
              </w:rPr>
              <w:t>个 标配；</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）有线充电器：</w:t>
            </w:r>
            <w:r>
              <w:rPr>
                <w:rFonts w:ascii="仿宋_GB2312" w:hAnsi="仿宋_GB2312" w:cs="仿宋_GB2312" w:eastAsia="仿宋_GB2312"/>
                <w:sz w:val="24"/>
              </w:rPr>
              <w:t xml:space="preserve"> 1</w:t>
            </w:r>
            <w:r>
              <w:rPr>
                <w:rFonts w:ascii="仿宋_GB2312" w:hAnsi="仿宋_GB2312" w:cs="仿宋_GB2312" w:eastAsia="仿宋_GB2312"/>
                <w:sz w:val="24"/>
              </w:rPr>
              <w:t>个 标配；</w:t>
            </w:r>
          </w:p>
          <w:p>
            <w:pPr>
              <w:pStyle w:val="null3"/>
            </w:pPr>
            <w:r>
              <w:rPr>
                <w:rFonts w:ascii="仿宋_GB2312" w:hAnsi="仿宋_GB2312" w:cs="仿宋_GB2312" w:eastAsia="仿宋_GB2312"/>
                <w:sz w:val="24"/>
              </w:rPr>
              <w:t>（9）USB Type-C 数据线： 1条 标配。</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合同签订后7日完成交货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完成交货、安装、调试、验收</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完成交货、安装、调试、验收及培训。</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自验收合格之日起不少于1年。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依法在采购人所在地进行仲裁或诉讼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1、交付产品必须符合国家有关规范和相关政策。所有产品及辅材必须是未使用过的新产品，质量优良、渠道正当，配置合理。 2、按国家“三包”政策及投标承诺提供售后服务。 3、产品出现质量问题的，供应商需无条件同意采购人的售后服务要求，不低于：15天换机、1年免费保修，享受国家三包政策。保修期内硬件故障需在24小时内响应，1天内修复，如无法按期修复的，需免费提供备品备件。 4、本项目投标报价为完成本项目所需的全部内容，包括但不限于所有软件、硬件设备的安装、调试、培训、安排技术人员对使用单位的设备管理人员进行操作应用及维护保养方面的技能培训、售后、质保等全部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资格证明材料内容及格式.docx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 2024 年度经审计的财务报告（包括资产负债表、利润表、现金流量表、所有者权益变动表及其附注，成立时间至提交响应文件截止时间不足一年的可提供成立后任意时段的资产负债表），或其开标前三个月内基本存款账户开户银行出具的资信证明，（以上二种形式的资料提供任何一种即可）。</w:t>
            </w:r>
          </w:p>
        </w:tc>
        <w:tc>
          <w:tcPr>
            <w:tcW w:type="dxa" w:w="1661"/>
          </w:tcPr>
          <w:p>
            <w:pPr>
              <w:pStyle w:val="null3"/>
            </w:pPr>
            <w:r>
              <w:rPr>
                <w:rFonts w:ascii="仿宋_GB2312" w:hAnsi="仿宋_GB2312" w:cs="仿宋_GB2312" w:eastAsia="仿宋_GB2312"/>
              </w:rPr>
              <w:t>资格证明材料内容及格式.docx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提供2024年5月1日至今已缴纳任意一个月的社会保障资金缴存单据或社保机构开具的社会保险参保缴费情况证明。依法不需要缴纳社会保障资金的供应商应提供相关证明文件。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资格证明材料内容及格式.docx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5月1日至今已缴纳任意一个月的依法缴纳税收的相关凭据（时间以税款所属日期为准、税种为任意税种），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资格证明材料内容及格式.docx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通过“中国政府采购网”及“信用中国”网站查询相关主体无失信记录（网站查询截图加盖投标人公章，不得为“信用中国”中列入失信被执行人和重大税收违法案件当事人名单的投标人，不得为中国政府采购网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资格证明材料内容及格式.docx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法定代表人（负责人）委托授权书\身份证明：</w:t>
            </w:r>
          </w:p>
        </w:tc>
        <w:tc>
          <w:tcPr>
            <w:tcW w:type="dxa" w:w="3322"/>
          </w:tcPr>
          <w:p>
            <w:pPr>
              <w:pStyle w:val="null3"/>
            </w:pPr>
            <w:r>
              <w:rPr>
                <w:rFonts w:ascii="仿宋_GB2312" w:hAnsi="仿宋_GB2312" w:cs="仿宋_GB2312" w:eastAsia="仿宋_GB2312"/>
              </w:rPr>
              <w:t>法定代表人授权委托书：法定代表人参加投标的，须提供本人身份证复印件（附在资格证明文件中）；法定代表人授权他人参加投标的，须提供法定代表人授权委托书。招标文件中凡是需要法定代表人盖章之处，非法人单位的负责人均参照执行。</w:t>
            </w:r>
          </w:p>
        </w:tc>
        <w:tc>
          <w:tcPr>
            <w:tcW w:type="dxa" w:w="1661"/>
          </w:tcPr>
          <w:p>
            <w:pPr>
              <w:pStyle w:val="null3"/>
            </w:pPr>
            <w:r>
              <w:rPr>
                <w:rFonts w:ascii="仿宋_GB2312" w:hAnsi="仿宋_GB2312" w:cs="仿宋_GB2312" w:eastAsia="仿宋_GB2312"/>
              </w:rPr>
              <w:t>资格证明材料内容及格式.docx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本项目为非专门面向中小企业，对符合要求的小型、微型企业执行价格扣除政策</w:t>
            </w:r>
          </w:p>
        </w:tc>
        <w:tc>
          <w:tcPr>
            <w:tcW w:type="dxa" w:w="3322"/>
          </w:tcPr>
          <w:p>
            <w:pPr>
              <w:pStyle w:val="null3"/>
            </w:pPr>
            <w:r>
              <w:rPr>
                <w:rFonts w:ascii="仿宋_GB2312" w:hAnsi="仿宋_GB2312" w:cs="仿宋_GB2312" w:eastAsia="仿宋_GB2312"/>
              </w:rPr>
              <w:t>根据财政部、工业和信息化部关于印发意见“财库〔2011〕181号” 关于印发《政府采购促进中小企业发展暂行办法》的通知规定，执行政府采购政策支持，投标货物制造商属于小型、微型企业的，对其投标报价给予10%的扣除；监狱企业、残疾人福利企业给予与小微企业相同政策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投标文件格式、盖章、签署及是否存在重大负偏离</w:t>
            </w:r>
          </w:p>
        </w:tc>
        <w:tc>
          <w:tcPr>
            <w:tcW w:type="dxa" w:w="3322"/>
          </w:tcPr>
          <w:p>
            <w:pPr>
              <w:pStyle w:val="null3"/>
            </w:pPr>
            <w:r>
              <w:rPr>
                <w:rFonts w:ascii="仿宋_GB2312" w:hAnsi="仿宋_GB2312" w:cs="仿宋_GB2312" w:eastAsia="仿宋_GB2312"/>
              </w:rPr>
              <w:t>符合招标要求，无重大负偏离</w:t>
            </w:r>
          </w:p>
        </w:tc>
        <w:tc>
          <w:tcPr>
            <w:tcW w:type="dxa" w:w="1661"/>
          </w:tcPr>
          <w:p>
            <w:pPr>
              <w:pStyle w:val="null3"/>
            </w:pPr>
            <w:r>
              <w:rPr>
                <w:rFonts w:ascii="仿宋_GB2312" w:hAnsi="仿宋_GB2312" w:cs="仿宋_GB2312" w:eastAsia="仿宋_GB2312"/>
              </w:rPr>
              <w:t>开标一览表 投标函 商务应答表 标的清单 投标文件封面 资格证明材料内容及格式.docx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一、评审内容 投标产品的技术参数、功能等符合情况，最高得15分。 所投产品的技术参数完全满足，投标文件中应逐条对应技术参数进行响应，满足招标基本要求的得15分； （1）完全符合、响应招标文件要求，没有负偏离，得基本分15.0分。 （2）投标人必须在投标文件中对招标要求的“▲”技术参数进行逐一响应，并提供相应证明材料。未提供佐证材料的，按负偏离处理，以15分为基准分，每有1项扣3.0分，扣完为止。 （3）非“▲”参数每负偏离一项扣1.0分，扣完为止。 注：“▲”技术参数须在技术响应表中注明佐证材料的页码；并提供充足的佐证材料包括但不限于提供第三方质量认证或第三方检测机构出具的检验报告或功能截图（加盖制造商单位公章）或功能声明函（加盖制造商单位公章）或产品说明书或产品彩页等佐证材料。</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技术参数证明材料.docx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投标人应提供针对本项目的实施方案，内容包含： ①项目需求、实施计划及组织架构与分工；②进度计划、安装检测调试后期维护方案；③安全保障措施等； ④本项目实施的重点、难点分析并给出相应的解决方案； 二、赋分标准 1、完整性：方案内容完整全面，对上述各项内容均有描述及说明，得5.0分；缺1项，得4.0分；缺2项，得3.0分；缺3项，得2.0分；缺4项，得0分。 2、针对性：针对性强，得5.0分；针对性一般，得3.0分；缺乏针对性，得1.0分；未按要求进行响应的，得0.0分。 3、可实施性：可实施性强，得5.0分；可实施性一般，得3.0分；缺乏可实施性，得1.0分；未按要求进行响应的，得0分。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质量管理方案</w:t>
            </w:r>
          </w:p>
        </w:tc>
        <w:tc>
          <w:tcPr>
            <w:tcW w:type="dxa" w:w="2492"/>
          </w:tcPr>
          <w:p>
            <w:pPr>
              <w:pStyle w:val="null3"/>
            </w:pPr>
            <w:r>
              <w:rPr>
                <w:rFonts w:ascii="仿宋_GB2312" w:hAnsi="仿宋_GB2312" w:cs="仿宋_GB2312" w:eastAsia="仿宋_GB2312"/>
              </w:rPr>
              <w:t>一、评审内容 投标人应提供针对本项目的质量管理方案，内容包含： ①质量管理制度； ②质量保证承诺； ③质量保证措施； 二、赋分标准 1、完整性：方案内容完整全面，对上述各项内容均有描述及说明，得5.0分；缺1项，得3.0分；缺2项，得1.0分；缺3项，得0.0分； 2、针对性：针对性强，得5.0分；针对性一般，得3.0分；缺乏针对性，得1.0分；未按要求进行响应的，得0分。 3、可实施性：可实施性强，得5.0分；可实施性一般，得3.0分；缺乏可实施性，得1.0分；未按要求进行响应的，得0分。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质量管理方案.docx</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投标产品渠道正规有保障，供应商应提供投标产品（移动警务终端）来源渠道证明文件及制造商原厂售后服务承诺函，渠道证明包括但不限于销售协议、代理协议、原厂授权等证明材料复印件加盖单位公章； 1.1提供渠道证明材料，材料内容符合评分标准要求的，得1.0分； 1.2提供制造商原厂售后服务承诺函，材料内容符合评分标准要求的，得1.0分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产品渠道.docx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供应商投标质保期为1年的，得2.0分；投标质保期为2年的，得5.0分；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质保期.docx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1、业绩 1.1投标人提供2022年1月1日以来完成过同类或类似项目合同，每提供一份得1.5分，最高得3.0分； 注：投标文件中提供合同复印件并加盖单位公章。 1.2投标人提供的已完同类或类似项目业绩，同时具有合同甲方单位出具的验收报告或用户评价证明的，每有1份满足要求得1.0分，最高得2.0分； 注：投标文件中提供证明材料复印件并加盖单位公章。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应针对本项目制定详细、可行的培训方案，保证采购人能熟练操作维护和正常使用、简单故障排查处理；投标培训方案包含：培训人数、培训时间、培训内容（课程）；投标培训方案完整全面、无不合理描述事项的，得3.0分；出现一项缺漏或不合理描述的，得2.0分；出现二项缺漏或不合理描述的，得1.0分；出现三项（及以上）缺漏或不合理描述的，得0.0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投标人提供针对本项目制定详细、可行的售后服务方案，方案包含： ①售后服务内容及范围承诺 ②故障处理响应时间安排计划； ③售后服务网点及保障措施； ④针对本项目拟投入售后服务人员配置情况； ⑤针对突发事件的应急措施和解决方案； 二、评审标准 1、完整性：方案内容完整全面，对上述各项内容均有描述及说明，得5.0分；缺1项，得4.0分；缺2项，得3.0分；缺3项，得2.0分；缺4项，得1.0分；缺5项，得0.0分； 2、针对性：针对性强，得1.5分；针对性一般，得1.0分；缺乏针对性，得0.5分；未按要求进行响应的，得0.0分。 3、可实施性：可实施性强，得1.5分；可实施性一般，得1.0分；缺乏可实施性，得0.5分；未按要求进行响应的，得0分。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增值服务方案</w:t>
            </w:r>
          </w:p>
        </w:tc>
        <w:tc>
          <w:tcPr>
            <w:tcW w:type="dxa" w:w="2492"/>
          </w:tcPr>
          <w:p>
            <w:pPr>
              <w:pStyle w:val="null3"/>
            </w:pPr>
            <w:r>
              <w:rPr>
                <w:rFonts w:ascii="仿宋_GB2312" w:hAnsi="仿宋_GB2312" w:cs="仿宋_GB2312" w:eastAsia="仿宋_GB2312"/>
              </w:rPr>
              <w:t>投标人根据项目实际履约需求及自身情况提供相关增值服务方案，增值服务方案应合理可行，增值服务有利于保障、提升项目后期履约使用的，得2.0分；不能保障或提升项目后期履约使用的或未提供的，得0.0分。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增值服务.docx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第一步：投标总报价低于或等于财政预算价格的，为有效投标报价。超财政预算的投标报价为无效投标报价。无效投标报价的投标文件不进行评审，也不得中标。 第二步：价格分采用低价优先法计算，即满足招标文件要求且投标价格最低的投标报价为评标基准价，其价格分为满分。 其他投标单位的价格分统一按照下列公式计算： 投标报价得分=（评标基准价/投标报价）*30%*100，小数点后保留两位，第三位四舍五入。 注：推荐确定中标候选供应商之前，评标小组认为，排在前面的候选供应商的最终报价或者某些分项报价明显不合理或者低于成本，有可能影响商品质量和不能诚信履约的，应当要求其在规定的期限内提供书面文件予以说明理由，并提交相关证明材料。否则，评标小组可以取消该供应商的候选资格，按顺序由排在其次的候选供应商递补，以此类推。</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 2、投标货物制造商属于小型、微型企业，对其报价给予10%的扣除。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本项目授权评标委员会直接确认中标供应商，确认后代理机构在陕西省政府采购网上发布中标公告，同时向中标供应商发出中标通知书。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详见附件：资格证明材料内容及格式.docx</w:t>
      </w:r>
    </w:p>
    <w:p>
      <w:pPr>
        <w:pStyle w:val="null3"/>
        <w:ind w:firstLine="960"/>
      </w:pPr>
      <w:r>
        <w:rPr>
          <w:rFonts w:ascii="仿宋_GB2312" w:hAnsi="仿宋_GB2312" w:cs="仿宋_GB2312" w:eastAsia="仿宋_GB2312"/>
        </w:rPr>
        <w:t>详见附件：技术参数证明材料.docx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详见附件：增值服务.docx</w:t>
      </w:r>
    </w:p>
    <w:p>
      <w:pPr>
        <w:pStyle w:val="null3"/>
        <w:ind w:firstLine="960"/>
      </w:pPr>
      <w:r>
        <w:rPr>
          <w:rFonts w:ascii="仿宋_GB2312" w:hAnsi="仿宋_GB2312" w:cs="仿宋_GB2312" w:eastAsia="仿宋_GB2312"/>
        </w:rPr>
        <w:t>详见附件：质保期.docx</w:t>
      </w:r>
    </w:p>
    <w:p>
      <w:pPr>
        <w:pStyle w:val="null3"/>
        <w:ind w:firstLine="960"/>
      </w:pPr>
      <w:r>
        <w:rPr>
          <w:rFonts w:ascii="仿宋_GB2312" w:hAnsi="仿宋_GB2312" w:cs="仿宋_GB2312" w:eastAsia="仿宋_GB2312"/>
        </w:rPr>
        <w:t>详见附件：质量管理方案.docx</w:t>
      </w:r>
    </w:p>
    <w:p>
      <w:pPr>
        <w:pStyle w:val="null3"/>
        <w:ind w:firstLine="960"/>
      </w:pPr>
      <w:r>
        <w:rPr>
          <w:rFonts w:ascii="仿宋_GB2312" w:hAnsi="仿宋_GB2312" w:cs="仿宋_GB2312" w:eastAsia="仿宋_GB2312"/>
        </w:rPr>
        <w:t>详见附件：产品渠道.docx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详见附件：参考合同.docx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