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版本号：正衡招字-[2025]--486号20250701002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法治思想“三进”成果展室建设项目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正衡招字-[2025]--486号</w:t>
      </w:r>
      <w:r>
        <w:br/>
      </w:r>
      <w:r>
        <w:br/>
      </w:r>
      <w:r>
        <w:br/>
      </w:r>
    </w:p>
    <w:p>
      <w:pPr>
        <w:pStyle w:val="null3"/>
        <w:jc w:val="center"/>
        <w:outlineLvl w:val="2"/>
      </w:pPr>
      <w:r>
        <w:rPr>
          <w:rFonts w:ascii="仿宋_GB2312" w:hAnsi="仿宋_GB2312" w:cs="仿宋_GB2312" w:eastAsia="仿宋_GB2312"/>
          <w:sz w:val="28"/>
          <w:b/>
        </w:rPr>
        <w:t>西北政法大学</w:t>
      </w:r>
    </w:p>
    <w:p>
      <w:pPr>
        <w:pStyle w:val="null3"/>
        <w:jc w:val="center"/>
        <w:outlineLvl w:val="2"/>
      </w:pPr>
      <w:r>
        <w:rPr>
          <w:rFonts w:ascii="仿宋_GB2312" w:hAnsi="仿宋_GB2312" w:cs="仿宋_GB2312" w:eastAsia="仿宋_GB2312"/>
          <w:sz w:val="28"/>
          <w:b/>
        </w:rPr>
        <w:t>正衡工程项目管理有限公司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西北政法大学</w:t>
      </w:r>
      <w:r>
        <w:rPr>
          <w:rFonts w:ascii="仿宋_GB2312" w:hAnsi="仿宋_GB2312" w:cs="仿宋_GB2312" w:eastAsia="仿宋_GB2312"/>
        </w:rPr>
        <w:t>委托，拟对</w:t>
      </w:r>
      <w:r>
        <w:rPr>
          <w:rFonts w:ascii="仿宋_GB2312" w:hAnsi="仿宋_GB2312" w:cs="仿宋_GB2312" w:eastAsia="仿宋_GB2312"/>
        </w:rPr>
        <w:t>法治思想“三进”成果展室建设项目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正衡招字-[2025]--486号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法治思想“三进”成果展室建设项目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西北政法大学法治思想“三进”成果展室建设项目，具体详见采购需求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采购包1（西北政法大学法治思想“三进”成果展室建设项目）：属于专门面向中小企业采购。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 营业执照（事业单位法人证书/专业服务机构执业许可证/民办非企业单位登记证书，自然人提供身份证）</w:t>
      </w:r>
    </w:p>
    <w:p>
      <w:pPr>
        <w:pStyle w:val="null3"/>
      </w:pPr>
      <w:r>
        <w:rPr>
          <w:rFonts w:ascii="仿宋_GB2312" w:hAnsi="仿宋_GB2312" w:cs="仿宋_GB2312" w:eastAsia="仿宋_GB2312"/>
        </w:rPr>
        <w:t>2、税收缴纳证明：提供磋商前6个月以来已缴纳任意时段的完税凭证或税务机关开具的完税证明（任意税种），纳税证明或完税证明上应有代收机构或税务机关的公章或专用章。依法免税的投标人应提供相关文件证明</w:t>
      </w:r>
    </w:p>
    <w:p>
      <w:pPr>
        <w:pStyle w:val="null3"/>
      </w:pPr>
      <w:r>
        <w:rPr>
          <w:rFonts w:ascii="仿宋_GB2312" w:hAnsi="仿宋_GB2312" w:cs="仿宋_GB2312" w:eastAsia="仿宋_GB2312"/>
        </w:rPr>
        <w:t>3、社会保障资金缴纳证明：提供磋商前6个月以来已缴纳任意时段的社会保障资金缴存单据或社保机构开具的社会保险参保缴费情况证明，单据或证明上应有社保机构或代收机构的公章或专用章。依法不需要缴纳社会保障资金的投标人应提供相关文件证明；</w:t>
      </w:r>
    </w:p>
    <w:p>
      <w:pPr>
        <w:pStyle w:val="null3"/>
      </w:pPr>
      <w:r>
        <w:rPr>
          <w:rFonts w:ascii="仿宋_GB2312" w:hAnsi="仿宋_GB2312" w:cs="仿宋_GB2312" w:eastAsia="仿宋_GB2312"/>
        </w:rPr>
        <w:t>4、无重大违法记录声明：出具参加本次政府采购活动前三年内在经营活动中没有重大违法记录（包括但不限于未被列入失信被执行人、重大税收违法案件当事人名单、政府采购严重违法失信行为记录名单）的书面声明</w:t>
      </w:r>
    </w:p>
    <w:p>
      <w:pPr>
        <w:pStyle w:val="null3"/>
      </w:pPr>
      <w:r>
        <w:rPr>
          <w:rFonts w:ascii="仿宋_GB2312" w:hAnsi="仿宋_GB2312" w:cs="仿宋_GB2312" w:eastAsia="仿宋_GB2312"/>
        </w:rPr>
        <w:t>5、法定代表人授权委托书：法定代表人参加磋商的，须出示身份证；法定代表人授权他人参加磋商的，须提供法定代表人授权委托书、被授权人提交身份证</w:t>
      </w:r>
    </w:p>
    <w:p>
      <w:pPr>
        <w:pStyle w:val="null3"/>
      </w:pPr>
      <w:r>
        <w:rPr>
          <w:rFonts w:ascii="仿宋_GB2312" w:hAnsi="仿宋_GB2312" w:cs="仿宋_GB2312" w:eastAsia="仿宋_GB2312"/>
        </w:rPr>
        <w:t>6、企业资质：供应商须具备建设行政主管部门颁发的建筑工程施工总承包三级及以上（含三级）资质，同时须提供有效的安全生产许可证</w:t>
      </w:r>
    </w:p>
    <w:p>
      <w:pPr>
        <w:pStyle w:val="null3"/>
      </w:pPr>
      <w:r>
        <w:rPr>
          <w:rFonts w:ascii="仿宋_GB2312" w:hAnsi="仿宋_GB2312" w:cs="仿宋_GB2312" w:eastAsia="仿宋_GB2312"/>
        </w:rPr>
        <w:t>7、项目经理：拟派项目经理须具备建筑工程专业二级及以上（含二级）注册建造师证书及安全生产考核合格证，且未担任其他在施建设工程项目的项目经理（提供无在建声明）</w:t>
      </w:r>
    </w:p>
    <w:p>
      <w:pPr>
        <w:pStyle w:val="null3"/>
      </w:pPr>
      <w:r>
        <w:rPr>
          <w:rFonts w:ascii="仿宋_GB2312" w:hAnsi="仿宋_GB2312" w:cs="仿宋_GB2312" w:eastAsia="仿宋_GB2312"/>
        </w:rPr>
        <w:t>8、供应商基本信息及项目经理（建造师）的基本信息在“陕西省住房和城乡建设厅网站（http://js.shaanxi.gov.cn/）”可查询：供应商基本信息及项目经理（建造师）的基本信息在“陕西省住房和城乡建设厅网站（http://js.shaanxi.gov.cn/）”查询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西北政法大学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西安市长安区西长安街558号西北政法大学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西北政法大学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029-88182569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陕西省西安市航天基地雁塔南路391号正衡金融广场A座18层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何星星、岳欢、郑维肖、王俊杰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029-87515803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开户名称：正衡工程项目管理有限公司</w:t>
            </w:r>
          </w:p>
          <w:p>
            <w:pPr>
              <w:pStyle w:val="null3"/>
            </w:pPr>
            <w:r>
              <w:rPr>
                <w:rFonts w:ascii="仿宋_GB2312" w:hAnsi="仿宋_GB2312" w:cs="仿宋_GB2312" w:eastAsia="仿宋_GB2312"/>
              </w:rPr>
              <w:t>开户银行：招行西安和平路支行</w:t>
            </w:r>
          </w:p>
          <w:p>
            <w:pPr>
              <w:pStyle w:val="null3"/>
            </w:pPr>
            <w:r>
              <w:rPr>
                <w:rFonts w:ascii="仿宋_GB2312" w:hAnsi="仿宋_GB2312" w:cs="仿宋_GB2312" w:eastAsia="仿宋_GB2312"/>
              </w:rPr>
              <w:t>银行账号：129902420310901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代理服务费收费标准：1、参照国家计委计价格[2002]1980号及发改办价格[2003]857号通知规定，按标准收取代理服务费。 2、支付方式：成交供应商应在领取通知书的同时，支付本项目代理服务费。 收款账户如下： 收款单位：正衡工程项目管理有限公司 开户银行：招行西安和平路支行 银行账号：129902420310901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西北政法大学</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西北政法大学</w:t>
      </w:r>
      <w:r>
        <w:rPr>
          <w:rFonts w:ascii="仿宋_GB2312" w:hAnsi="仿宋_GB2312" w:cs="仿宋_GB2312" w:eastAsia="仿宋_GB2312"/>
        </w:rPr>
        <w:t>负责解释。除上述磋商文件内容，其他内容由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西北政法大学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联系人：何星星</w:t>
      </w:r>
    </w:p>
    <w:p>
      <w:pPr>
        <w:pStyle w:val="null3"/>
      </w:pPr>
      <w:r>
        <w:rPr>
          <w:rFonts w:ascii="仿宋_GB2312" w:hAnsi="仿宋_GB2312" w:cs="仿宋_GB2312" w:eastAsia="仿宋_GB2312"/>
        </w:rPr>
        <w:t>联系电话：15109206440</w:t>
      </w:r>
    </w:p>
    <w:p>
      <w:pPr>
        <w:pStyle w:val="null3"/>
      </w:pPr>
      <w:r>
        <w:rPr>
          <w:rFonts w:ascii="仿宋_GB2312" w:hAnsi="仿宋_GB2312" w:cs="仿宋_GB2312" w:eastAsia="仿宋_GB2312"/>
        </w:rPr>
        <w:t>地址：陕西省西安市航天基地雁塔南路391号正衡金融广场A座18层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2,480,000.00</w:t>
      </w:r>
    </w:p>
    <w:p>
      <w:pPr>
        <w:pStyle w:val="null3"/>
      </w:pPr>
      <w:r>
        <w:rPr>
          <w:rFonts w:ascii="仿宋_GB2312" w:hAnsi="仿宋_GB2312" w:cs="仿宋_GB2312" w:eastAsia="仿宋_GB2312"/>
        </w:rPr>
        <w:t>采购包最高限价（元）: 2,480,000.00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西北政法大学法治思想“三进”成果展室建设项目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标的名称：西北政法大学法治思想“三进”成果展室建设项目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1"/>
              </w:rPr>
              <w:t>1.采购内容：法治思想“三进”成果展室建设服务，项目执行期限为70个日历日。</w:t>
            </w:r>
          </w:p>
          <w:p>
            <w:pPr>
              <w:pStyle w:val="null3"/>
              <w:ind w:firstLine="640"/>
              <w:jc w:val="both"/>
            </w:pPr>
            <w:r>
              <w:rPr>
                <w:rFonts w:ascii="仿宋_GB2312" w:hAnsi="仿宋_GB2312" w:cs="仿宋_GB2312" w:eastAsia="仿宋_GB2312"/>
                <w:sz w:val="21"/>
              </w:rPr>
              <w:t>2.主要功能或目标：按照设计方案完成法治思想“三进”成果展室基础建设，展陈、灯光及安防系统采购与安装，有线无线网络覆盖等服务，打造能充分展现西北政法大学工作亮点和特色的法治思想“三进”成果展室，充分发挥其展示窗口、学习阵地和交流平台作用。</w:t>
            </w:r>
          </w:p>
          <w:p>
            <w:pPr>
              <w:pStyle w:val="null3"/>
              <w:ind w:firstLine="640"/>
              <w:jc w:val="both"/>
            </w:pPr>
            <w:r>
              <w:rPr>
                <w:rFonts w:ascii="仿宋_GB2312" w:hAnsi="仿宋_GB2312" w:cs="仿宋_GB2312" w:eastAsia="仿宋_GB2312"/>
                <w:sz w:val="21"/>
              </w:rPr>
              <w:t>3.需满足的技术规格、服务及验收要求：须圆满完成法治思想“三进”成果展室序厅主厅的建设，确保达到预期效果并符合验收要求。</w:t>
            </w:r>
          </w:p>
          <w:p>
            <w:pPr>
              <w:pStyle w:val="null3"/>
              <w:ind w:firstLine="640"/>
              <w:jc w:val="both"/>
            </w:pPr>
            <w:r>
              <w:rPr>
                <w:rFonts w:ascii="仿宋_GB2312" w:hAnsi="仿宋_GB2312" w:cs="仿宋_GB2312" w:eastAsia="仿宋_GB2312"/>
                <w:sz w:val="21"/>
              </w:rPr>
              <w:t>4.其他内容详见图纸及工程量清单。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质量标准执行国家、陕西省、西安市现行工程质量验评标准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1.保修期要求：工程免费保修期为24个月，自验收合格起开始计算。在保修期外，提供有偿维修服务。 2.工期要求：自合同签订之日起70个日历日内完工（（特殊情况另行约定））； 3.工程质量：合格； 4.施工地点：西北政法大学长安校区图书馆B101 5.验收标准：按照现行国家施工验收规范合格标准。 6.采购资金的支付方式及时间： （1）结算单位：采购人结算，在付款前必须开具等额发票给采购人。 （2）付款方式：签订合同后15日内支付50%的工程预付款，全部工程竣工后，按照最终工程验收结算审核后价格支付至总结算额的100%。 7.清单报价编制依据： （一）建设主管部门颁发的清单计价依据 1、《关于印发2009陕西省建设工程工程量清单计价依据的通知》（陕建发〔2009〕199号）； 2、《关于调整我省建设工程计价依据的通知》（陕建发〔2019〕45号）； 3、《关于发布我省落实建筑工人实名制管理计价依据的通知》（陕建发〔2019〕1246号）； 4、《关于增加建设工程扬尘治理专项措施费及综合人工单价调整的通知》（陕建发〔2017〕270号）中关于扬尘治理专项措施费的规定； 5、《关于建筑施工安全生产责任保险费用计价的通知》（陕建发〔2020〕1097号）； 6、《关于调整房屋建筑和市政基础设施工程工程量清单计价综合人工单价的通知》（陕建发〔2021〕1097号）； 7、《陕西省住房和城乡建设厅关于全省统一停止收缴建筑业劳保费用的通知》陕建发〔2021〕1021号； 8、《关于加强建筑行业养老保险费用缴纳和养老保险费用计价监管有关事项的通知》（陕建发〔2021〕61号）。 （二）陕西省现行工程量清单计价规定 1、《陕西省建设工程工程量清单计价规则》（2009）； 2、《陕西省建设工程工程量清单计价费率》（2009）； 3、其他《陕西省建设工程工程量清单计价规则》（2009）配套文件中工程量计算办法； 4、《陕西省建筑装饰工程消耗量定额》（2004）； 5、《陕西省安装工程消耗量定额》（2004）； 6、《陕西省建设工程消耗量定额（2004）补充定额》； 7、《陕西省安装工程价目表》（2009）； 8、《陕西省建设工程施工机械台班价目表》（2009）； （三）价格依据 材料、设备价格凡招标人给有材料、设备暂估单价的项目，各投标人须按给定价计算；凡招标人推荐品牌的按照推荐品牌的市场价格计入；招标人未给暂估单价且未推荐品牌的材料均按照《陕西省工程造价信息》2025年第4期执行，信息价没有的材料价格采用市场价格计入。 （四）设计文件 1、建设单位提供的“法治思想“三进”成果展室项目”图纸。 （五）其他依据 1、建设单位对于招标范围疑问的回复，详见附件一回复。 2、常规的施工组织设计和施工方案。 三、编制范围 本清单编制范围包括装饰装修改造、电气工程、弱电工程、空调工程等图纸设计范围内的所有内容。 四、有关说明 1、养老保险计入总造价。 2、所有砂浆采用预拌砂浆。 3、本工程量清单采用广联达云计价平台GCCP6.0（6.4100.23.122）编制。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响应文件正本壹份、副本贰套、电子版壹套（U盘一套标明供应商名称，随正本密封）。若电子响应文件与纸质响应文件不一致的，以电子响应文件为准。线下递交文件时间截止：在磋商时间截止之前；线下递交文件地点：陕西省西安市航天基地雁塔南路391号正衡金融广场A座18层。 2、根据《陕西省财政厅关于进一步优化政府采购营商环境有关事项的通知》（陕财办采〔2023〕4号）规定，采购人应在中标通知书发出之日起25日与中标人签订采购合同，因采购系统文件编制有所限制，文件前后不一致以此处为准。 3、工程量清单及图纸详见附件。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财务状况报告：提供审计事务所出具的2023年度或2024年度的财务报告，包括 “四表一注”（即资产负债表、利润表、现金流量表、所有者权益变动表（若有）及其附注，成立时间至提交响应文件截止时间不足一年的可提供成立后任意时段的资产负债表）或在磋商日期前六个月内其开户银行出具的资信证明，以上两种形式的资料提供任何一种即可（分支机构如无法提供财务审计报告，须出具包含分支机构的财务数据的总公司财务审计报告）；事业单位零余额账户提供相应证明或承诺；供应商需在项目电子化交易系统中按要求填写《响应函》完成承诺并进行电子签章。提供“陕西省政府采购供应商信用承诺书”的，可不再提供其他证明文件。</w:t>
            </w:r>
          </w:p>
        </w:tc>
        <w:tc>
          <w:tcPr>
            <w:tcW w:type="dxa" w:w="1661"/>
          </w:tcPr>
          <w:p>
            <w:pPr>
              <w:pStyle w:val="null3"/>
            </w:pPr>
            <w:r>
              <w:rPr>
                <w:rFonts w:ascii="仿宋_GB2312" w:hAnsi="仿宋_GB2312" w:cs="仿宋_GB2312" w:eastAsia="仿宋_GB2312"/>
              </w:rPr>
              <w:t>24.资格证明材料.docx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23.监狱企业的证明文件 21.中小企业声明函 22.残疾人福利性单位声明函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 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24.资格证明材料.docx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提供磋商前6个月以来已缴纳任意时段的完税凭证或税务机关开具的完税证明（任意税种），纳税证明或完税证明上应有代收机构或税务机关的公章或专用章。依法免税的投标人应提供相关文件证明</w:t>
            </w:r>
          </w:p>
        </w:tc>
        <w:tc>
          <w:tcPr>
            <w:tcW w:type="dxa" w:w="1661"/>
          </w:tcPr>
          <w:p>
            <w:pPr>
              <w:pStyle w:val="null3"/>
            </w:pPr>
            <w:r>
              <w:rPr>
                <w:rFonts w:ascii="仿宋_GB2312" w:hAnsi="仿宋_GB2312" w:cs="仿宋_GB2312" w:eastAsia="仿宋_GB2312"/>
              </w:rPr>
              <w:t>24.资格证明材料.docx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前6个月以来已缴纳任意时段的社会保障资金缴存单据或社保机构开具的社会保险参保缴费情况证明，单据或证明上应有社保机构或代收机构的公章或专用章。依法不需要缴纳社会保障资金的投标人应提供相关文件证明；</w:t>
            </w:r>
          </w:p>
        </w:tc>
        <w:tc>
          <w:tcPr>
            <w:tcW w:type="dxa" w:w="1661"/>
          </w:tcPr>
          <w:p>
            <w:pPr>
              <w:pStyle w:val="null3"/>
            </w:pPr>
            <w:r>
              <w:rPr>
                <w:rFonts w:ascii="仿宋_GB2312" w:hAnsi="仿宋_GB2312" w:cs="仿宋_GB2312" w:eastAsia="仿宋_GB2312"/>
              </w:rPr>
              <w:t>24.资格证明材料.docx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出具参加本次政府采购活动前三年内在经营活动中没有重大违法记录（包括但不限于未被列入失信被执行人、重大税收违法案件当事人名单、政府采购严重违法失信行为记录名单）的书面声明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24.资格证明材料.docx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法定代表人参加磋商的，须出示身份证；法定代表人授权他人参加磋商的，须提供法定代表人授权委托书、被授权人提交身份证</w:t>
            </w:r>
          </w:p>
        </w:tc>
        <w:tc>
          <w:tcPr>
            <w:tcW w:type="dxa" w:w="1661"/>
          </w:tcPr>
          <w:p>
            <w:pPr>
              <w:pStyle w:val="null3"/>
            </w:pPr>
            <w:r>
              <w:rPr>
                <w:rFonts w:ascii="仿宋_GB2312" w:hAnsi="仿宋_GB2312" w:cs="仿宋_GB2312" w:eastAsia="仿宋_GB2312"/>
              </w:rPr>
              <w:t>19.授权书.docx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供应商须具备建设行政主管部门颁发的建筑工程施工总承包三级及以上（含三级）资质，同时须提供有效的安全生产许可证</w:t>
            </w:r>
          </w:p>
        </w:tc>
        <w:tc>
          <w:tcPr>
            <w:tcW w:type="dxa" w:w="1661"/>
          </w:tcPr>
          <w:p>
            <w:pPr>
              <w:pStyle w:val="null3"/>
            </w:pPr>
            <w:r>
              <w:rPr>
                <w:rFonts w:ascii="仿宋_GB2312" w:hAnsi="仿宋_GB2312" w:cs="仿宋_GB2312" w:eastAsia="仿宋_GB2312"/>
              </w:rPr>
              <w:t>24.资格证明材料.docx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拟派项目经理须具备建筑工程专业二级及以上（含二级）注册建造师证书及安全生产考核合格证，且未担任其他在施建设工程项目的项目经理（提供无在建声明）</w:t>
            </w:r>
          </w:p>
        </w:tc>
        <w:tc>
          <w:tcPr>
            <w:tcW w:type="dxa" w:w="1661"/>
          </w:tcPr>
          <w:p>
            <w:pPr>
              <w:pStyle w:val="null3"/>
            </w:pPr>
            <w:r>
              <w:rPr>
                <w:rFonts w:ascii="仿宋_GB2312" w:hAnsi="仿宋_GB2312" w:cs="仿宋_GB2312" w:eastAsia="仿宋_GB2312"/>
              </w:rPr>
              <w:t>24.资格证明材料.docx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供应商基本信息及项目经理（建造师）的基本信息在“陕西省住房和城乡建设厅网站（http://js.shaanxi.gov.cn/）”可查询</w:t>
            </w:r>
          </w:p>
        </w:tc>
        <w:tc>
          <w:tcPr>
            <w:tcW w:type="dxa" w:w="3322"/>
          </w:tcPr>
          <w:p>
            <w:pPr>
              <w:pStyle w:val="null3"/>
            </w:pPr>
            <w:r>
              <w:rPr>
                <w:rFonts w:ascii="仿宋_GB2312" w:hAnsi="仿宋_GB2312" w:cs="仿宋_GB2312" w:eastAsia="仿宋_GB2312"/>
              </w:rPr>
              <w:t>供应商基本信息及项目经理（建造师）的基本信息在“陕西省住房和城乡建设厅网站（http://js.shaanxi.gov.cn/）”查询截图</w:t>
            </w:r>
          </w:p>
        </w:tc>
        <w:tc>
          <w:tcPr>
            <w:tcW w:type="dxa" w:w="1661"/>
          </w:tcPr>
          <w:p>
            <w:pPr>
              <w:pStyle w:val="null3"/>
            </w:pPr>
            <w:r>
              <w:rPr>
                <w:rFonts w:ascii="仿宋_GB2312" w:hAnsi="仿宋_GB2312" w:cs="仿宋_GB2312" w:eastAsia="仿宋_GB2312"/>
              </w:rPr>
              <w:t>24.资格证明材料.docx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20.标的清单 3.已标价的工程量清单.docx 3.报价函 17.报价一览表.docx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响应文件的初步审查</w:t>
            </w:r>
          </w:p>
        </w:tc>
        <w:tc>
          <w:tcPr>
            <w:tcW w:type="dxa" w:w="3322"/>
          </w:tcPr>
          <w:p>
            <w:pPr>
              <w:pStyle w:val="null3"/>
            </w:pPr>
            <w:r>
              <w:rPr>
                <w:rFonts w:ascii="仿宋_GB2312" w:hAnsi="仿宋_GB2312" w:cs="仿宋_GB2312" w:eastAsia="仿宋_GB2312"/>
              </w:rPr>
              <w:t>磋商小组应当对供应商提交的首次响应文件进行初步审查，包括响应文件的有效性、完整性、符合性。除可变动的技术、服务要求以及合同草案条款外，首次提交的响应文件有下列情况之一，其响应文件无效，磋商小组应当告知有关供应商。 (1)未按照磋商文件规定要求签署、盖章的； (2)响应有效期不足的或无有效期的； (3)报价超过磋商文件中规定的预算金额的； (4)不满足本磋商文件中第三章其他技术服务要求条款内容的； (5)法律、规章、规范性文件和磋商文件规定的其他无效情形。</w:t>
            </w:r>
          </w:p>
        </w:tc>
        <w:tc>
          <w:tcPr>
            <w:tcW w:type="dxa" w:w="1661"/>
          </w:tcPr>
          <w:p>
            <w:pPr>
              <w:pStyle w:val="null3"/>
            </w:pPr>
            <w:r>
              <w:rPr>
                <w:rFonts w:ascii="仿宋_GB2312" w:hAnsi="仿宋_GB2312" w:cs="仿宋_GB2312" w:eastAsia="仿宋_GB2312"/>
              </w:rPr>
              <w:t>20.标的清单 24.资格证明材料.docx 19.授权书.docx 3.报价函 16.磋商声明书.docx 5.项目部组成.docx 23.监狱企业的证明文件 14.供应商类似项目业绩一览表 9.工程质量技术组织措施.docx 18.实质性商务部分偏离表.docx 13.文明施工措施.docx 21.中小企业声明函 17.报价一览表.docx 22.残疾人福利性单位声明函 2.响应函 10.安全生产技术组织措施.docx 1.响应文件封面 4.技术服务合同条款及其他商务要求应答表 6.施工进度.docx 7.技术组织措施.docx 15.承诺.docx 11.新技术新产品新工艺.docx 3.已标价的工程量清单.docx 8.施工方案.docx 12.施工机械及材料.docx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项目部组成方案</w:t>
            </w:r>
          </w:p>
        </w:tc>
        <w:tc>
          <w:tcPr>
            <w:tcW w:type="dxa" w:w="2492"/>
          </w:tcPr>
          <w:p>
            <w:pPr>
              <w:pStyle w:val="null3"/>
            </w:pPr>
            <w:r>
              <w:rPr>
                <w:rFonts w:ascii="仿宋_GB2312" w:hAnsi="仿宋_GB2312" w:cs="仿宋_GB2312" w:eastAsia="仿宋_GB2312"/>
              </w:rPr>
              <w:t>一、评审内容：根据供应商针对本项目编写的项目部组成方案（包含但不限于人员组织架构，分配计划，人员岗前职责，人员名单及相关证书（包含但不限于身份证、资格证）等）进行计分：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上述4项评审内容全部满足评审标准得10分，评审内容缺项每项扣2.5分，每有一项评审内容存在缺陷，根据缺陷内容，每出现一处缺陷扣1分，扣完为止。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5.项目部组成.docx</w:t>
            </w:r>
          </w:p>
        </w:tc>
      </w:tr>
      <w:tr>
        <w:tc>
          <w:tcPr>
            <w:tcW w:type="dxa" w:w="831"/>
            <w:vMerge/>
          </w:tcPr>
          <w:p/>
        </w:tc>
        <w:tc>
          <w:tcPr>
            <w:tcW w:type="dxa" w:w="1661"/>
          </w:tcPr>
          <w:p>
            <w:pPr>
              <w:pStyle w:val="null3"/>
            </w:pPr>
            <w:r>
              <w:rPr>
                <w:rFonts w:ascii="仿宋_GB2312" w:hAnsi="仿宋_GB2312" w:cs="仿宋_GB2312" w:eastAsia="仿宋_GB2312"/>
              </w:rPr>
              <w:t>施工进度方案</w:t>
            </w:r>
          </w:p>
        </w:tc>
        <w:tc>
          <w:tcPr>
            <w:tcW w:type="dxa" w:w="2492"/>
          </w:tcPr>
          <w:p>
            <w:pPr>
              <w:pStyle w:val="null3"/>
            </w:pPr>
            <w:r>
              <w:rPr>
                <w:rFonts w:ascii="仿宋_GB2312" w:hAnsi="仿宋_GB2312" w:cs="仿宋_GB2312" w:eastAsia="仿宋_GB2312"/>
              </w:rPr>
              <w:t>一、评审内容：根据供应商针对本项目编写的施工进度方案（包含但不限于施工进度表/施工网络图，施工计划、施工进度目标管理等）进行计分：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上述3项评审内容全部满足评审标准得9分，评审内容缺项每项扣3分，每有一项评审内容存在缺陷，根据缺陷内容，每出现一处缺陷扣1分，扣完为止。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6.施工进度.docx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一、评审内容：根据供应商针对本项目编写的技术组织措施（包含但不限于技术管理组织措施，施工技术措施、特殊天气下的技术组织措施等）进行计分：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上述3项评审内容全部满足评审标准得6分，评审内容缺项每项扣2分，每有一项评审内容存在缺陷，根据缺陷内容，每出现一处缺陷扣1分，扣完为止。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7.技术组织措施.docx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一、评审内容：根据供应商针对本项目编写的施工方案（包含但不限于施工组织机构方案，技术方案、施工总体部署、项目管理目标等）进行计分：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上述4项评审内容全部满足评审标准得10分，评审内容缺项每项扣2.5分，每有一项评审内容存在缺陷，根据缺陷内容，每出现一处缺陷扣1分，扣完为止。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8.施工方案.docx</w:t>
            </w:r>
          </w:p>
        </w:tc>
      </w:tr>
      <w:tr>
        <w:tc>
          <w:tcPr>
            <w:tcW w:type="dxa" w:w="831"/>
            <w:vMerge/>
          </w:tcPr>
          <w:p/>
        </w:tc>
        <w:tc>
          <w:tcPr>
            <w:tcW w:type="dxa" w:w="1661"/>
          </w:tcPr>
          <w:p>
            <w:pPr>
              <w:pStyle w:val="null3"/>
            </w:pPr>
            <w:r>
              <w:rPr>
                <w:rFonts w:ascii="仿宋_GB2312" w:hAnsi="仿宋_GB2312" w:cs="仿宋_GB2312" w:eastAsia="仿宋_GB2312"/>
              </w:rPr>
              <w:t>工程质量技术组织措施</w:t>
            </w:r>
          </w:p>
        </w:tc>
        <w:tc>
          <w:tcPr>
            <w:tcW w:type="dxa" w:w="2492"/>
          </w:tcPr>
          <w:p>
            <w:pPr>
              <w:pStyle w:val="null3"/>
            </w:pPr>
            <w:r>
              <w:rPr>
                <w:rFonts w:ascii="仿宋_GB2312" w:hAnsi="仿宋_GB2312" w:cs="仿宋_GB2312" w:eastAsia="仿宋_GB2312"/>
              </w:rPr>
              <w:t>一、评审内容：根据供应商针对本项目编写的工程质量技术组织措施（包含但不限于保证质量措施、降低成本措施、季节性施工措施、防止环境污染的措施等）进行计分：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上述4项评审内容全部满足评审标准得6分，评审内容缺项每项扣1.5分，每有一项评审内容存在缺陷，根据缺陷内容，每出现一处缺陷扣1分，扣完为止。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9.工程质量技术组织措施.docx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一、评审内容：根据供应商针对本项目编写的安全生产技术组织措施（包含但不限于安全技术保证措施、季节性施工安全措施安全管理制度等）进行计分：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上述2项评审内容全部满足评审标准得4分，评审内容缺项每项扣2分，每有一项评审内容存在缺陷，根据缺陷内容，每出现一处缺陷扣1分，扣完为止。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10.安全生产技术组织措施.docx</w:t>
            </w:r>
          </w:p>
        </w:tc>
      </w:tr>
      <w:tr>
        <w:tc>
          <w:tcPr>
            <w:tcW w:type="dxa" w:w="831"/>
            <w:vMerge/>
          </w:tcPr>
          <w:p/>
        </w:tc>
        <w:tc>
          <w:tcPr>
            <w:tcW w:type="dxa" w:w="1661"/>
          </w:tcPr>
          <w:p>
            <w:pPr>
              <w:pStyle w:val="null3"/>
            </w:pPr>
            <w:r>
              <w:rPr>
                <w:rFonts w:ascii="仿宋_GB2312" w:hAnsi="仿宋_GB2312" w:cs="仿宋_GB2312" w:eastAsia="仿宋_GB2312"/>
              </w:rPr>
              <w:t>新技术新产品新工艺</w:t>
            </w:r>
          </w:p>
        </w:tc>
        <w:tc>
          <w:tcPr>
            <w:tcW w:type="dxa" w:w="2492"/>
          </w:tcPr>
          <w:p>
            <w:pPr>
              <w:pStyle w:val="null3"/>
            </w:pPr>
            <w:r>
              <w:rPr>
                <w:rFonts w:ascii="仿宋_GB2312" w:hAnsi="仿宋_GB2312" w:cs="仿宋_GB2312" w:eastAsia="仿宋_GB2312"/>
              </w:rPr>
              <w:t>一、评审内容：根据供应商针对本项目编写的新技术新产品新工艺内容（包含但不限于材料明细、应用案例及相关证明文件等）进行计分：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上述2项评审内容全部满足评审标准得5分，评审内容缺项每项扣2.5分，每有一项评审内容存在缺陷，根据缺陷内容，每出现一处缺陷扣1分，扣完为止。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11.新技术新产品新工艺.docx</w:t>
            </w:r>
          </w:p>
        </w:tc>
      </w:tr>
      <w:tr>
        <w:tc>
          <w:tcPr>
            <w:tcW w:type="dxa" w:w="831"/>
            <w:vMerge/>
          </w:tcPr>
          <w:p/>
        </w:tc>
        <w:tc>
          <w:tcPr>
            <w:tcW w:type="dxa" w:w="1661"/>
          </w:tcPr>
          <w:p>
            <w:pPr>
              <w:pStyle w:val="null3"/>
            </w:pPr>
            <w:r>
              <w:rPr>
                <w:rFonts w:ascii="仿宋_GB2312" w:hAnsi="仿宋_GB2312" w:cs="仿宋_GB2312" w:eastAsia="仿宋_GB2312"/>
              </w:rPr>
              <w:t>施工机械及材料方案</w:t>
            </w:r>
          </w:p>
        </w:tc>
        <w:tc>
          <w:tcPr>
            <w:tcW w:type="dxa" w:w="2492"/>
          </w:tcPr>
          <w:p>
            <w:pPr>
              <w:pStyle w:val="null3"/>
            </w:pPr>
            <w:r>
              <w:rPr>
                <w:rFonts w:ascii="仿宋_GB2312" w:hAnsi="仿宋_GB2312" w:cs="仿宋_GB2312" w:eastAsia="仿宋_GB2312"/>
              </w:rPr>
              <w:t>一、评审内容：根据供应商针对本项目编写的施工机械及材料方案（包含但不限于施工机械方案、拟用材料明细、到场离场计划、质量控制措施、安全管理等）进行计分：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上述5项评审内容全部满足评审标准得5分，评审内容缺项每项扣1分，每有一项评审内容存在缺陷，根据缺陷内容，每出现一处缺陷扣0.5分，扣完为止。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12.施工机械及材料.docx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一、评审内容：根据供应商针对本项目编写的安全文明施工措施（包含但不限于安全保证措施、文明施工措施等）进行计分：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上述2项评审内容全部满足评审标准得5分，评审内容缺项每项扣2.5分，每有一项评审内容存在缺陷，根据缺陷内容，每出现一处缺陷扣1分，扣完为止。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13.文明施工措施.docx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提供供应商2022年6月1日至今同类项目施工合同，每提供1份得1分。（以合同签订日期为准）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承诺及后续服务内容</w:t>
            </w:r>
          </w:p>
        </w:tc>
        <w:tc>
          <w:tcPr>
            <w:tcW w:type="dxa" w:w="2492"/>
          </w:tcPr>
          <w:p>
            <w:pPr>
              <w:pStyle w:val="null3"/>
            </w:pPr>
            <w:r>
              <w:rPr>
                <w:rFonts w:ascii="仿宋_GB2312" w:hAnsi="仿宋_GB2312" w:cs="仿宋_GB2312" w:eastAsia="仿宋_GB2312"/>
              </w:rPr>
              <w:t>供应商针对本项目编写的承诺及后续服务内容，磋商小组按一下内容进行赋分； （1）承诺及后续服务内容内容完整（包含但不限于响应国家政策、保修承诺、工程质量、工期承诺、安全质量承诺、付款方式及条件承诺、文明施工承诺、场地的治污减霾保护等）的计5分; （2）承诺及后续服务内容不完善（响应国家政策、保修承诺、工程质量、工期承诺、安全质量承诺、付款方式及条件承诺、文明施工承诺、场地的治污减霾保护等内容有缺项漏项）或缺项的计3分；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2.响应函</w:t>
            </w:r>
          </w:p>
          <w:p>
            <w:pPr>
              <w:pStyle w:val="null3"/>
            </w:pPr>
            <w:r>
              <w:rPr>
                <w:rFonts w:ascii="仿宋_GB2312" w:hAnsi="仿宋_GB2312" w:cs="仿宋_GB2312" w:eastAsia="仿宋_GB2312"/>
              </w:rPr>
              <w:t>3.报价函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详见附件：1.响应文件封面</w:t>
      </w:r>
    </w:p>
    <w:p>
      <w:pPr>
        <w:pStyle w:val="null3"/>
        <w:ind w:firstLine="960"/>
      </w:pPr>
      <w:r>
        <w:rPr>
          <w:rFonts w:ascii="仿宋_GB2312" w:hAnsi="仿宋_GB2312" w:cs="仿宋_GB2312" w:eastAsia="仿宋_GB2312"/>
        </w:rPr>
        <w:t>详见附件：2.响应函</w:t>
      </w:r>
    </w:p>
    <w:p>
      <w:pPr>
        <w:pStyle w:val="null3"/>
        <w:ind w:firstLine="960"/>
      </w:pPr>
      <w:r>
        <w:rPr>
          <w:rFonts w:ascii="仿宋_GB2312" w:hAnsi="仿宋_GB2312" w:cs="仿宋_GB2312" w:eastAsia="仿宋_GB2312"/>
        </w:rPr>
        <w:t>详见附件：3.报价函</w:t>
      </w:r>
    </w:p>
    <w:p>
      <w:pPr>
        <w:pStyle w:val="null3"/>
        <w:ind w:firstLine="960"/>
      </w:pPr>
      <w:r>
        <w:rPr>
          <w:rFonts w:ascii="仿宋_GB2312" w:hAnsi="仿宋_GB2312" w:cs="仿宋_GB2312" w:eastAsia="仿宋_GB2312"/>
        </w:rPr>
        <w:t>详见附件：3.已标价的工程量清单.docx</w:t>
      </w:r>
    </w:p>
    <w:p>
      <w:pPr>
        <w:pStyle w:val="null3"/>
        <w:ind w:firstLine="960"/>
      </w:pPr>
      <w:r>
        <w:rPr>
          <w:rFonts w:ascii="仿宋_GB2312" w:hAnsi="仿宋_GB2312" w:cs="仿宋_GB2312" w:eastAsia="仿宋_GB2312"/>
        </w:rPr>
        <w:t>详见附件：4.技术服务合同条款及其他商务要求应答表</w:t>
      </w:r>
    </w:p>
    <w:p>
      <w:pPr>
        <w:pStyle w:val="null3"/>
        <w:ind w:firstLine="960"/>
      </w:pPr>
      <w:r>
        <w:rPr>
          <w:rFonts w:ascii="仿宋_GB2312" w:hAnsi="仿宋_GB2312" w:cs="仿宋_GB2312" w:eastAsia="仿宋_GB2312"/>
        </w:rPr>
        <w:t>详见附件：5.项目部组成.docx</w:t>
      </w:r>
    </w:p>
    <w:p>
      <w:pPr>
        <w:pStyle w:val="null3"/>
        <w:ind w:firstLine="960"/>
      </w:pPr>
      <w:r>
        <w:rPr>
          <w:rFonts w:ascii="仿宋_GB2312" w:hAnsi="仿宋_GB2312" w:cs="仿宋_GB2312" w:eastAsia="仿宋_GB2312"/>
        </w:rPr>
        <w:t>详见附件：6.施工进度.docx</w:t>
      </w:r>
    </w:p>
    <w:p>
      <w:pPr>
        <w:pStyle w:val="null3"/>
        <w:ind w:firstLine="960"/>
      </w:pPr>
      <w:r>
        <w:rPr>
          <w:rFonts w:ascii="仿宋_GB2312" w:hAnsi="仿宋_GB2312" w:cs="仿宋_GB2312" w:eastAsia="仿宋_GB2312"/>
        </w:rPr>
        <w:t>详见附件：7.技术组织措施.docx</w:t>
      </w:r>
    </w:p>
    <w:p>
      <w:pPr>
        <w:pStyle w:val="null3"/>
        <w:ind w:firstLine="960"/>
      </w:pPr>
      <w:r>
        <w:rPr>
          <w:rFonts w:ascii="仿宋_GB2312" w:hAnsi="仿宋_GB2312" w:cs="仿宋_GB2312" w:eastAsia="仿宋_GB2312"/>
        </w:rPr>
        <w:t>详见附件：8.施工方案.docx</w:t>
      </w:r>
    </w:p>
    <w:p>
      <w:pPr>
        <w:pStyle w:val="null3"/>
        <w:ind w:firstLine="960"/>
      </w:pPr>
      <w:r>
        <w:rPr>
          <w:rFonts w:ascii="仿宋_GB2312" w:hAnsi="仿宋_GB2312" w:cs="仿宋_GB2312" w:eastAsia="仿宋_GB2312"/>
        </w:rPr>
        <w:t>详见附件：9.工程质量技术组织措施.docx</w:t>
      </w:r>
    </w:p>
    <w:p>
      <w:pPr>
        <w:pStyle w:val="null3"/>
        <w:ind w:firstLine="960"/>
      </w:pPr>
      <w:r>
        <w:rPr>
          <w:rFonts w:ascii="仿宋_GB2312" w:hAnsi="仿宋_GB2312" w:cs="仿宋_GB2312" w:eastAsia="仿宋_GB2312"/>
        </w:rPr>
        <w:t>详见附件：10.安全生产技术组织措施.docx</w:t>
      </w:r>
    </w:p>
    <w:p>
      <w:pPr>
        <w:pStyle w:val="null3"/>
        <w:ind w:firstLine="960"/>
      </w:pPr>
      <w:r>
        <w:rPr>
          <w:rFonts w:ascii="仿宋_GB2312" w:hAnsi="仿宋_GB2312" w:cs="仿宋_GB2312" w:eastAsia="仿宋_GB2312"/>
        </w:rPr>
        <w:t>详见附件：11.新技术新产品新工艺.docx</w:t>
      </w:r>
    </w:p>
    <w:p>
      <w:pPr>
        <w:pStyle w:val="null3"/>
        <w:ind w:firstLine="960"/>
      </w:pPr>
      <w:r>
        <w:rPr>
          <w:rFonts w:ascii="仿宋_GB2312" w:hAnsi="仿宋_GB2312" w:cs="仿宋_GB2312" w:eastAsia="仿宋_GB2312"/>
        </w:rPr>
        <w:t>详见附件：12.施工机械及材料.docx</w:t>
      </w:r>
    </w:p>
    <w:p>
      <w:pPr>
        <w:pStyle w:val="null3"/>
        <w:ind w:firstLine="960"/>
      </w:pPr>
      <w:r>
        <w:rPr>
          <w:rFonts w:ascii="仿宋_GB2312" w:hAnsi="仿宋_GB2312" w:cs="仿宋_GB2312" w:eastAsia="仿宋_GB2312"/>
        </w:rPr>
        <w:t>详见附件：13.文明施工措施.docx</w:t>
      </w:r>
    </w:p>
    <w:p>
      <w:pPr>
        <w:pStyle w:val="null3"/>
        <w:ind w:firstLine="960"/>
      </w:pPr>
      <w:r>
        <w:rPr>
          <w:rFonts w:ascii="仿宋_GB2312" w:hAnsi="仿宋_GB2312" w:cs="仿宋_GB2312" w:eastAsia="仿宋_GB2312"/>
        </w:rPr>
        <w:t>详见附件：14.供应商类似项目业绩一览表</w:t>
      </w:r>
    </w:p>
    <w:p>
      <w:pPr>
        <w:pStyle w:val="null3"/>
        <w:ind w:firstLine="960"/>
      </w:pPr>
      <w:r>
        <w:rPr>
          <w:rFonts w:ascii="仿宋_GB2312" w:hAnsi="仿宋_GB2312" w:cs="仿宋_GB2312" w:eastAsia="仿宋_GB2312"/>
        </w:rPr>
        <w:t>详见附件：15.承诺.docx</w:t>
      </w:r>
    </w:p>
    <w:p>
      <w:pPr>
        <w:pStyle w:val="null3"/>
        <w:ind w:firstLine="960"/>
      </w:pPr>
      <w:r>
        <w:rPr>
          <w:rFonts w:ascii="仿宋_GB2312" w:hAnsi="仿宋_GB2312" w:cs="仿宋_GB2312" w:eastAsia="仿宋_GB2312"/>
        </w:rPr>
        <w:t>详见附件：16.磋商声明书.docx</w:t>
      </w:r>
    </w:p>
    <w:p>
      <w:pPr>
        <w:pStyle w:val="null3"/>
        <w:ind w:firstLine="960"/>
      </w:pPr>
      <w:r>
        <w:rPr>
          <w:rFonts w:ascii="仿宋_GB2312" w:hAnsi="仿宋_GB2312" w:cs="仿宋_GB2312" w:eastAsia="仿宋_GB2312"/>
        </w:rPr>
        <w:t>详见附件：17.报价一览表.docx</w:t>
      </w:r>
    </w:p>
    <w:p>
      <w:pPr>
        <w:pStyle w:val="null3"/>
        <w:ind w:firstLine="960"/>
      </w:pPr>
      <w:r>
        <w:rPr>
          <w:rFonts w:ascii="仿宋_GB2312" w:hAnsi="仿宋_GB2312" w:cs="仿宋_GB2312" w:eastAsia="仿宋_GB2312"/>
        </w:rPr>
        <w:t>详见附件：18.实质性商务部分偏离表.docx</w:t>
      </w:r>
    </w:p>
    <w:p>
      <w:pPr>
        <w:pStyle w:val="null3"/>
        <w:ind w:firstLine="960"/>
      </w:pPr>
      <w:r>
        <w:rPr>
          <w:rFonts w:ascii="仿宋_GB2312" w:hAnsi="仿宋_GB2312" w:cs="仿宋_GB2312" w:eastAsia="仿宋_GB2312"/>
        </w:rPr>
        <w:t>详见附件：19.授权书.docx</w:t>
      </w:r>
    </w:p>
    <w:p>
      <w:pPr>
        <w:pStyle w:val="null3"/>
        <w:ind w:firstLine="960"/>
      </w:pPr>
      <w:r>
        <w:rPr>
          <w:rFonts w:ascii="仿宋_GB2312" w:hAnsi="仿宋_GB2312" w:cs="仿宋_GB2312" w:eastAsia="仿宋_GB2312"/>
        </w:rPr>
        <w:t>详见附件：20.标的清单</w:t>
      </w:r>
    </w:p>
    <w:p>
      <w:pPr>
        <w:pStyle w:val="null3"/>
        <w:ind w:firstLine="960"/>
      </w:pPr>
      <w:r>
        <w:rPr>
          <w:rFonts w:ascii="仿宋_GB2312" w:hAnsi="仿宋_GB2312" w:cs="仿宋_GB2312" w:eastAsia="仿宋_GB2312"/>
        </w:rPr>
        <w:t>详见附件：21.中小企业声明函</w:t>
      </w:r>
    </w:p>
    <w:p>
      <w:pPr>
        <w:pStyle w:val="null3"/>
        <w:ind w:firstLine="960"/>
      </w:pPr>
      <w:r>
        <w:rPr>
          <w:rFonts w:ascii="仿宋_GB2312" w:hAnsi="仿宋_GB2312" w:cs="仿宋_GB2312" w:eastAsia="仿宋_GB2312"/>
        </w:rPr>
        <w:t>详见附件：22.残疾人福利性单位声明函</w:t>
      </w:r>
    </w:p>
    <w:p>
      <w:pPr>
        <w:pStyle w:val="null3"/>
        <w:ind w:firstLine="960"/>
      </w:pPr>
      <w:r>
        <w:rPr>
          <w:rFonts w:ascii="仿宋_GB2312" w:hAnsi="仿宋_GB2312" w:cs="仿宋_GB2312" w:eastAsia="仿宋_GB2312"/>
        </w:rPr>
        <w:t>详见附件：23.监狱企业的证明文件</w:t>
      </w:r>
    </w:p>
    <w:p>
      <w:pPr>
        <w:pStyle w:val="null3"/>
        <w:ind w:firstLine="960"/>
      </w:pPr>
      <w:r>
        <w:rPr>
          <w:rFonts w:ascii="仿宋_GB2312" w:hAnsi="仿宋_GB2312" w:cs="仿宋_GB2312" w:eastAsia="仿宋_GB2312"/>
        </w:rPr>
        <w:t>详见附件：24.资格证明材料.docx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