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版本号：DLZB-2025-060220250620001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管道内检测器购置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DLZB-2025-0602</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管道内检测器购置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DLZB-2025-0602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管道内检测器购置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管道内检测器购置，包括智能漏磁内检测器1套、几何变形检测器1套、数据分析系统1套。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佘翠、李博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029-87613089/18066910897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开户名称：典亮工程项目管理有限公司</w:t>
            </w:r>
          </w:p>
          <w:p>
            <w:pPr>
              <w:pStyle w:val="null3"/>
            </w:pPr>
            <w:r>
              <w:rPr>
                <w:rFonts w:ascii="仿宋_GB2312" w:hAnsi="仿宋_GB2312" w:cs="仿宋_GB2312" w:eastAsia="仿宋_GB2312"/>
              </w:rPr>
              <w:t>开户银行：陕西秦农农村商业银行股份有限公司劳动南路支行</w:t>
            </w:r>
          </w:p>
          <w:p>
            <w:pPr>
              <w:pStyle w:val="null3"/>
            </w:pPr>
            <w:r>
              <w:rPr>
                <w:rFonts w:ascii="仿宋_GB2312" w:hAnsi="仿宋_GB2312" w:cs="仿宋_GB2312" w:eastAsia="仿宋_GB2312"/>
              </w:rPr>
              <w:t>银行账号：2701050701201000053069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代理服务费收费标准：中标人在领取中标通知书时，向典亮工程项目管理有限公司交纳招标代理服务费。服务费收费标准参照国家计委颁发的《招标代理服务收费管理暂行办法》（计价格〔2002〕1980 号）的有关规定按标准计取。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联系电话：029-87613089/18066910897</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管道内检测器购置，包括智能漏磁内检测器1套、几何变形检测器1套、数据分析系统1套。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管道内检测器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标的名称：管道内检测器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ind w:right="-15"/>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w:t>
            </w:r>
            <w:r>
              <w:rPr>
                <w:rFonts w:ascii="仿宋_GB2312" w:hAnsi="仿宋_GB2312" w:cs="仿宋_GB2312" w:eastAsia="仿宋_GB2312"/>
                <w:sz w:val="20"/>
                <w:color w:val="000000"/>
              </w:rPr>
              <w:t>采购物资</w:t>
            </w:r>
            <w:r>
              <w:rPr>
                <w:rFonts w:ascii="仿宋_GB2312" w:hAnsi="仿宋_GB2312" w:cs="仿宋_GB2312" w:eastAsia="仿宋_GB2312"/>
                <w:sz w:val="20"/>
                <w:color w:val="000000"/>
              </w:rPr>
              <w:t>内容</w:t>
            </w:r>
          </w:p>
          <w:tbl>
            <w:tblPr>
              <w:tblInd w:type="dxa" w:w="255"/>
              <w:tblBorders>
                <w:top w:val="none" w:color="000000" w:sz="4"/>
                <w:left w:val="none" w:color="000000" w:sz="4"/>
                <w:bottom w:val="none" w:color="000000" w:sz="4"/>
                <w:right w:val="none" w:color="000000" w:sz="4"/>
                <w:insideH w:val="none"/>
                <w:insideV w:val="none"/>
              </w:tblBorders>
            </w:tblPr>
            <w:tblGrid>
              <w:gridCol w:w="519"/>
              <w:gridCol w:w="1797"/>
              <w:gridCol w:w="1019"/>
              <w:gridCol w:w="665"/>
              <w:gridCol w:w="585"/>
              <w:gridCol w:w="514"/>
            </w:tblGrid>
            <w:tr>
              <w:tc>
                <w:tcPr>
                  <w:tcW w:type="dxa" w:w="5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序号</w:t>
                  </w:r>
                </w:p>
              </w:tc>
              <w:tc>
                <w:tcPr>
                  <w:tcW w:type="dxa" w:w="17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物资名称</w:t>
                  </w:r>
                </w:p>
              </w:tc>
              <w:tc>
                <w:tcPr>
                  <w:tcW w:type="dxa" w:w="10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规格型号</w:t>
                  </w:r>
                </w:p>
              </w:tc>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单位</w:t>
                  </w:r>
                </w:p>
              </w:tc>
              <w:tc>
                <w:tcPr>
                  <w:tcW w:type="dxa" w:w="5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数量</w:t>
                  </w:r>
                </w:p>
              </w:tc>
              <w:tc>
                <w:tcPr>
                  <w:tcW w:type="dxa" w:w="5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备注</w:t>
                  </w:r>
                </w:p>
              </w:tc>
            </w:tr>
            <w:tr>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17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智能漏磁内检测器</w:t>
                  </w:r>
                </w:p>
              </w:tc>
              <w:tc>
                <w:tcPr>
                  <w:tcW w:type="dxa" w:w="10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Φ273mm</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17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几何变形检测器</w:t>
                  </w:r>
                </w:p>
              </w:tc>
              <w:tc>
                <w:tcPr>
                  <w:tcW w:type="dxa" w:w="10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Φ273mm</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17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数据分析系统</w:t>
                  </w:r>
                </w:p>
              </w:tc>
              <w:tc>
                <w:tcPr>
                  <w:tcW w:type="dxa" w:w="10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Φ273mm</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0"/>
                <w:color w:val="000000"/>
              </w:rPr>
              <w:t>二、设备技术参数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1）Φ273 漏磁内检测器</w:t>
            </w:r>
          </w:p>
          <w:tbl>
            <w:tblPr>
              <w:tblInd w:type="dxa" w:w="105"/>
              <w:tblBorders>
                <w:top w:val="none" w:color="000000" w:sz="4"/>
                <w:left w:val="none" w:color="000000" w:sz="4"/>
                <w:bottom w:val="none" w:color="000000" w:sz="4"/>
                <w:right w:val="none" w:color="000000" w:sz="4"/>
                <w:insideH w:val="none"/>
                <w:insideV w:val="none"/>
              </w:tblBorders>
            </w:tblPr>
            <w:tblGrid>
              <w:gridCol w:w="358"/>
              <w:gridCol w:w="1123"/>
              <w:gridCol w:w="1066"/>
            </w:tblGrid>
            <w:tr>
              <w:tc>
                <w:tcPr>
                  <w:tcW w:type="dxa" w:w="2547"/>
                  <w:gridSpan w:val="3"/>
                  <w:tcBorders>
                    <w:top w:val="single" w:color="8064A2" w:sz="4"/>
                    <w:left w:val="dotted" w:color="000000" w:sz="4"/>
                    <w:bottom w:val="single" w:color="8064A2" w:sz="4"/>
                    <w:right w:val="dotted"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b/>
                      <w:color w:val="000000"/>
                    </w:rPr>
                    <w:t>Φ273</w:t>
                  </w:r>
                  <w:r>
                    <w:rPr>
                      <w:rFonts w:ascii="仿宋_GB2312" w:hAnsi="仿宋_GB2312" w:cs="仿宋_GB2312" w:eastAsia="仿宋_GB2312"/>
                    </w:rPr>
                    <w:t xml:space="preserve"> </w:t>
                  </w:r>
                  <w:r>
                    <w:rPr>
                      <w:rFonts w:ascii="仿宋_GB2312" w:hAnsi="仿宋_GB2312" w:cs="仿宋_GB2312" w:eastAsia="仿宋_GB2312"/>
                      <w:sz w:val="20"/>
                      <w:b/>
                      <w:color w:val="000000"/>
                    </w:rPr>
                    <w:t>漏磁内检测器设备技术参数</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b/>
                      <w:color w:val="000000"/>
                    </w:rPr>
                    <w:t>序号</w:t>
                  </w:r>
                </w:p>
              </w:tc>
              <w:tc>
                <w:tcPr>
                  <w:tcW w:type="dxa" w:w="1123"/>
                  <w:tcBorders>
                    <w:top w:val="single" w:color="8064A2"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b/>
                      <w:color w:val="000000"/>
                    </w:rPr>
                    <w:t>仪器性能</w:t>
                  </w:r>
                </w:p>
              </w:tc>
              <w:tc>
                <w:tcPr>
                  <w:tcW w:type="dxa" w:w="1066"/>
                  <w:tcBorders>
                    <w:top w:val="single" w:color="8064A2"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b/>
                      <w:color w:val="000000"/>
                    </w:rPr>
                    <w:t>参数</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1</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检测器变形通过能力</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%OD</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b/>
                      <w:color w:val="000000"/>
                    </w:rPr>
                    <w:t>2</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b/>
                      <w:color w:val="000000"/>
                    </w:rPr>
                    <w:t>检测器弯头通过能力</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≥1.5D</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3</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检测速度</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0.5~5m/s</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4</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适应管道壁厚</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4mm</w:t>
                  </w:r>
                  <w:r>
                    <w:rPr>
                      <w:rFonts w:ascii="仿宋_GB2312" w:hAnsi="仿宋_GB2312" w:cs="仿宋_GB2312" w:eastAsia="仿宋_GB2312"/>
                      <w:sz w:val="20"/>
                      <w:color w:val="000000"/>
                    </w:rPr>
                    <w:t>～</w:t>
                  </w:r>
                  <w:r>
                    <w:rPr>
                      <w:rFonts w:ascii="仿宋_GB2312" w:hAnsi="仿宋_GB2312" w:cs="仿宋_GB2312" w:eastAsia="仿宋_GB2312"/>
                      <w:sz w:val="20"/>
                    </w:rPr>
                    <w:t>12</w:t>
                  </w:r>
                  <w:r>
                    <w:rPr>
                      <w:rFonts w:ascii="仿宋_GB2312" w:hAnsi="仿宋_GB2312" w:cs="仿宋_GB2312" w:eastAsia="仿宋_GB2312"/>
                      <w:sz w:val="20"/>
                    </w:rPr>
                    <w:t>mm</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5</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环境压力</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0～12</w:t>
                  </w:r>
                  <w:r>
                    <w:rPr>
                      <w:rFonts w:ascii="仿宋_GB2312" w:hAnsi="仿宋_GB2312" w:cs="仿宋_GB2312" w:eastAsia="仿宋_GB2312"/>
                      <w:sz w:val="20"/>
                      <w:color w:val="000000"/>
                    </w:rPr>
                    <w:t>MPa</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6</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运行温度</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-20℃~70℃</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7</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电池使用时间</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h</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8</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最大检测里程</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≥200</w:t>
                  </w:r>
                  <w:r>
                    <w:rPr>
                      <w:rFonts w:ascii="仿宋_GB2312" w:hAnsi="仿宋_GB2312" w:cs="仿宋_GB2312" w:eastAsia="仿宋_GB2312"/>
                      <w:sz w:val="20"/>
                      <w:color w:val="000000"/>
                    </w:rPr>
                    <w:t>km</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9</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b/>
                      <w:color w:val="000000"/>
                    </w:rPr>
                    <w:t>环向采样距离</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color w:val="000000"/>
                    </w:rPr>
                    <w:t>漏磁：</w:t>
                  </w:r>
                  <w:r>
                    <w:rPr>
                      <w:rFonts w:ascii="仿宋_GB2312" w:hAnsi="仿宋_GB2312" w:cs="仿宋_GB2312" w:eastAsia="仿宋_GB2312"/>
                      <w:sz w:val="20"/>
                      <w:color w:val="000000"/>
                    </w:rPr>
                    <w:t>7～10mm</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b/>
                      <w:color w:val="000000"/>
                    </w:rPr>
                    <w:t>10</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b/>
                      <w:color w:val="000000"/>
                    </w:rPr>
                    <w:t>通道数量</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漏磁：</w:t>
                  </w:r>
                  <w:r>
                    <w:rPr>
                      <w:rFonts w:ascii="仿宋_GB2312" w:hAnsi="仿宋_GB2312" w:cs="仿宋_GB2312" w:eastAsia="仿宋_GB2312"/>
                      <w:sz w:val="20"/>
                      <w:color w:val="000000"/>
                    </w:rPr>
                    <w:t>≥300 个</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b/>
                      <w:color w:val="000000"/>
                    </w:rPr>
                    <w:t>11</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b/>
                      <w:color w:val="000000"/>
                    </w:rPr>
                    <w:t>数据采样间距</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2mm或3mm</w:t>
                  </w:r>
                </w:p>
              </w:tc>
            </w:tr>
            <w:tr>
              <w:tc>
                <w:tcPr>
                  <w:tcW w:type="dxa" w:w="35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b/>
                      <w:color w:val="000000"/>
                    </w:rPr>
                    <w:t>12</w:t>
                  </w:r>
                </w:p>
              </w:tc>
              <w:tc>
                <w:tcPr>
                  <w:tcW w:type="dxa" w:w="112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b/>
                      <w:color w:val="000000"/>
                    </w:rPr>
                    <w:t>里程轮通道数量</w:t>
                  </w:r>
                </w:p>
              </w:tc>
              <w:tc>
                <w:tcPr>
                  <w:tcW w:type="dxa" w:w="1066"/>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 个</w:t>
                  </w:r>
                </w:p>
              </w:tc>
            </w:tr>
          </w:tbl>
          <w:p>
            <w:pPr>
              <w:pStyle w:val="null3"/>
              <w:jc w:val="left"/>
            </w:pPr>
            <w:r>
              <w:rPr>
                <w:rFonts w:ascii="仿宋_GB2312" w:hAnsi="仿宋_GB2312" w:cs="仿宋_GB2312" w:eastAsia="仿宋_GB2312"/>
              </w:rPr>
              <w:t xml:space="preserve"> </w:t>
            </w:r>
          </w:p>
          <w:p>
            <w:pPr>
              <w:pStyle w:val="null3"/>
              <w:spacing w:before="6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2）Φ273 变形内检测器</w:t>
            </w:r>
          </w:p>
          <w:tbl>
            <w:tblPr>
              <w:tblInd w:type="dxa" w:w="105"/>
              <w:tblBorders>
                <w:top w:val="none" w:color="000000" w:sz="4"/>
                <w:left w:val="none" w:color="000000" w:sz="4"/>
                <w:bottom w:val="none" w:color="000000" w:sz="4"/>
                <w:right w:val="none" w:color="000000" w:sz="4"/>
                <w:insideH w:val="none"/>
                <w:insideV w:val="none"/>
              </w:tblBorders>
            </w:tblPr>
            <w:tblGrid>
              <w:gridCol w:w="537"/>
              <w:gridCol w:w="1083"/>
              <w:gridCol w:w="928"/>
            </w:tblGrid>
            <w:tr>
              <w:tc>
                <w:tcPr>
                  <w:tcW w:type="dxa" w:w="2548"/>
                  <w:gridSpan w:val="3"/>
                  <w:tcBorders>
                    <w:top w:val="single" w:color="8064A2" w:sz="4"/>
                    <w:left w:val="dotted" w:color="000000" w:sz="4"/>
                    <w:bottom w:val="single" w:color="8064A2"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Φ273</w:t>
                  </w:r>
                  <w:r>
                    <w:rPr>
                      <w:rFonts w:ascii="仿宋_GB2312" w:hAnsi="仿宋_GB2312" w:cs="仿宋_GB2312" w:eastAsia="仿宋_GB2312"/>
                    </w:rPr>
                    <w:t xml:space="preserve"> </w:t>
                  </w:r>
                  <w:r>
                    <w:rPr>
                      <w:rFonts w:ascii="仿宋_GB2312" w:hAnsi="仿宋_GB2312" w:cs="仿宋_GB2312" w:eastAsia="仿宋_GB2312"/>
                      <w:sz w:val="20"/>
                      <w:b/>
                      <w:color w:val="000000"/>
                    </w:rPr>
                    <w:t>变形内检测器设备技术参数</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序号</w:t>
                  </w:r>
                </w:p>
              </w:tc>
              <w:tc>
                <w:tcPr>
                  <w:tcW w:type="dxa" w:w="1083"/>
                  <w:tcBorders>
                    <w:top w:val="single" w:color="8064A2"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仪器性能</w:t>
                  </w:r>
                </w:p>
              </w:tc>
              <w:tc>
                <w:tcPr>
                  <w:tcW w:type="dxa" w:w="928"/>
                  <w:tcBorders>
                    <w:top w:val="single" w:color="8064A2"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参数</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1</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检测器变形通过能力</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≥23</w:t>
                  </w:r>
                  <w:r>
                    <w:rPr>
                      <w:rFonts w:ascii="仿宋_GB2312" w:hAnsi="仿宋_GB2312" w:cs="仿宋_GB2312" w:eastAsia="仿宋_GB2312"/>
                      <w:sz w:val="20"/>
                      <w:color w:val="000000"/>
                    </w:rPr>
                    <w:t>%</w:t>
                  </w:r>
                  <w:r>
                    <w:rPr>
                      <w:rFonts w:ascii="仿宋_GB2312" w:hAnsi="仿宋_GB2312" w:cs="仿宋_GB2312" w:eastAsia="仿宋_GB2312"/>
                      <w:sz w:val="20"/>
                      <w:color w:val="000000"/>
                    </w:rPr>
                    <w:t>OD</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2</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检测器弯头通过能力</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≥1.5D</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3</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检测速度</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w:t>
                  </w:r>
                  <w:r>
                    <w:rPr>
                      <w:rFonts w:ascii="仿宋_GB2312" w:hAnsi="仿宋_GB2312" w:cs="仿宋_GB2312" w:eastAsia="仿宋_GB2312"/>
                      <w:sz w:val="20"/>
                      <w:color w:val="000000"/>
                    </w:rPr>
                    <w:t>3</w:t>
                  </w:r>
                  <w:r>
                    <w:rPr>
                      <w:rFonts w:ascii="仿宋_GB2312" w:hAnsi="仿宋_GB2312" w:cs="仿宋_GB2312" w:eastAsia="仿宋_GB2312"/>
                      <w:sz w:val="20"/>
                      <w:color w:val="000000"/>
                    </w:rPr>
                    <w:t>~5m/s</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4</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适应管道壁厚</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color w:val="000000"/>
                    </w:rPr>
                    <w:t>mm</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5</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环境压力</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0～12</w:t>
                  </w:r>
                  <w:r>
                    <w:rPr>
                      <w:rFonts w:ascii="仿宋_GB2312" w:hAnsi="仿宋_GB2312" w:cs="仿宋_GB2312" w:eastAsia="仿宋_GB2312"/>
                      <w:sz w:val="20"/>
                      <w:color w:val="000000"/>
                    </w:rPr>
                    <w:t>MPa</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6</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运行温度</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-20℃~70℃</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7</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电池使用时间</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h</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8</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最大检测里程</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≥200</w:t>
                  </w:r>
                  <w:r>
                    <w:rPr>
                      <w:rFonts w:ascii="仿宋_GB2312" w:hAnsi="仿宋_GB2312" w:cs="仿宋_GB2312" w:eastAsia="仿宋_GB2312"/>
                      <w:sz w:val="20"/>
                      <w:color w:val="000000"/>
                    </w:rPr>
                    <w:t>km</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9</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里程轮通道数量</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≥2个</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10</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数据采样间距</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2mm或3mm</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11</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环向采样距离</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≤55mm</w:t>
                  </w:r>
                </w:p>
              </w:tc>
            </w:tr>
            <w:tr>
              <w:tc>
                <w:tcPr>
                  <w:tcW w:type="dxa" w:w="537"/>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12</w:t>
                  </w:r>
                </w:p>
              </w:tc>
              <w:tc>
                <w:tcPr>
                  <w:tcW w:type="dxa" w:w="1083"/>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通道数量</w:t>
                  </w:r>
                </w:p>
              </w:tc>
              <w:tc>
                <w:tcPr>
                  <w:tcW w:type="dxa" w:w="928"/>
                  <w:tcBorders>
                    <w:top w:val="none" w:color="000000" w:sz="4"/>
                    <w:left w:val="dotted" w:color="000000" w:sz="4"/>
                    <w:bottom w:val="dotted" w:color="000000" w:sz="4"/>
                    <w:right w:val="dotted"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变形</w:t>
                  </w:r>
                  <w:r>
                    <w:rPr>
                      <w:rFonts w:ascii="仿宋_GB2312" w:hAnsi="仿宋_GB2312" w:cs="仿宋_GB2312" w:eastAsia="仿宋_GB2312"/>
                      <w:sz w:val="20"/>
                      <w:color w:val="000000"/>
                    </w:rPr>
                    <w:t>：</w:t>
                  </w:r>
                  <w:r>
                    <w:rPr>
                      <w:rFonts w:ascii="仿宋_GB2312" w:hAnsi="仿宋_GB2312" w:cs="仿宋_GB2312" w:eastAsia="仿宋_GB2312"/>
                      <w:sz w:val="20"/>
                      <w:color w:val="000000"/>
                    </w:rPr>
                    <w:t>≥16 个</w:t>
                  </w:r>
                </w:p>
              </w:tc>
            </w:tr>
          </w:tbl>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3）数据分析系统</w:t>
            </w:r>
            <w:r>
              <w:rPr>
                <w:rFonts w:ascii="仿宋_GB2312" w:hAnsi="仿宋_GB2312" w:cs="仿宋_GB2312" w:eastAsia="仿宋_GB2312"/>
                <w:sz w:val="20"/>
                <w:b/>
                <w:color w:val="000000"/>
              </w:rPr>
              <w:t>：</w:t>
            </w:r>
          </w:p>
          <w:p>
            <w:pPr>
              <w:pStyle w:val="null3"/>
              <w:spacing w:before="60"/>
              <w:ind w:right="1440" w:firstLine="216"/>
              <w:jc w:val="left"/>
            </w:pPr>
            <w:r>
              <w:rPr>
                <w:rFonts w:ascii="仿宋_GB2312" w:hAnsi="仿宋_GB2312" w:cs="仿宋_GB2312" w:eastAsia="仿宋_GB2312"/>
                <w:sz w:val="20"/>
                <w:color w:val="000000"/>
              </w:rPr>
              <w:t>1、软</w:t>
            </w:r>
            <w:r>
              <w:rPr>
                <w:rFonts w:ascii="仿宋_GB2312" w:hAnsi="仿宋_GB2312" w:cs="仿宋_GB2312" w:eastAsia="仿宋_GB2312"/>
                <w:sz w:val="20"/>
                <w:color w:val="000000"/>
              </w:rPr>
              <w:t>件分析系统基本要求</w:t>
            </w:r>
          </w:p>
          <w:p>
            <w:pPr>
              <w:pStyle w:val="null3"/>
              <w:ind w:firstLine="220"/>
              <w:jc w:val="left"/>
            </w:pPr>
            <w:r>
              <w:rPr>
                <w:rFonts w:ascii="仿宋_GB2312" w:hAnsi="仿宋_GB2312" w:cs="仿宋_GB2312" w:eastAsia="仿宋_GB2312"/>
                <w:sz w:val="20"/>
                <w:color w:val="000000"/>
              </w:rPr>
              <w:t>(1)本次设备采购配套的软件系统包含</w:t>
            </w:r>
            <w:r>
              <w:rPr>
                <w:rFonts w:ascii="仿宋_GB2312" w:hAnsi="仿宋_GB2312" w:cs="仿宋_GB2312" w:eastAsia="仿宋_GB2312"/>
                <w:sz w:val="20"/>
                <w:color w:val="000000"/>
              </w:rPr>
              <w:t>：</w:t>
            </w:r>
            <w:r>
              <w:rPr>
                <w:rFonts w:ascii="仿宋_GB2312" w:hAnsi="仿宋_GB2312" w:cs="仿宋_GB2312" w:eastAsia="仿宋_GB2312"/>
                <w:sz w:val="20"/>
                <w:color w:val="000000"/>
              </w:rPr>
              <w:t>几何检测器及漏磁检测器调试、数据读取</w:t>
            </w:r>
            <w:r>
              <w:rPr>
                <w:rFonts w:ascii="仿宋_GB2312" w:hAnsi="仿宋_GB2312" w:cs="仿宋_GB2312" w:eastAsia="仿宋_GB2312"/>
                <w:sz w:val="20"/>
                <w:color w:val="000000"/>
              </w:rPr>
              <w:t>下载</w:t>
            </w:r>
            <w:r>
              <w:rPr>
                <w:rFonts w:ascii="仿宋_GB2312" w:hAnsi="仿宋_GB2312" w:cs="仿宋_GB2312" w:eastAsia="仿宋_GB2312"/>
                <w:sz w:val="20"/>
                <w:color w:val="000000"/>
              </w:rPr>
              <w:t>、格式转换、数据判读、分析</w:t>
            </w:r>
            <w:r>
              <w:rPr>
                <w:rFonts w:ascii="仿宋_GB2312" w:hAnsi="仿宋_GB2312" w:cs="仿宋_GB2312" w:eastAsia="仿宋_GB2312"/>
                <w:sz w:val="20"/>
                <w:color w:val="000000"/>
              </w:rPr>
              <w:t>及附带</w:t>
            </w:r>
            <w:r>
              <w:rPr>
                <w:rFonts w:ascii="仿宋_GB2312" w:hAnsi="仿宋_GB2312" w:cs="仿宋_GB2312" w:eastAsia="仿宋_GB2312"/>
                <w:sz w:val="20"/>
                <w:color w:val="000000"/>
              </w:rPr>
              <w:t>各类所需数据线</w:t>
            </w:r>
            <w:r>
              <w:rPr>
                <w:rFonts w:ascii="仿宋_GB2312" w:hAnsi="仿宋_GB2312" w:cs="仿宋_GB2312" w:eastAsia="仿宋_GB2312"/>
                <w:sz w:val="20"/>
                <w:color w:val="000000"/>
              </w:rPr>
              <w:t>2</w:t>
            </w:r>
            <w:r>
              <w:rPr>
                <w:rFonts w:ascii="仿宋_GB2312" w:hAnsi="仿宋_GB2312" w:cs="仿宋_GB2312" w:eastAsia="仿宋_GB2312"/>
                <w:sz w:val="20"/>
                <w:color w:val="000000"/>
              </w:rPr>
              <w:t>份</w:t>
            </w:r>
            <w:r>
              <w:rPr>
                <w:rFonts w:ascii="仿宋_GB2312" w:hAnsi="仿宋_GB2312" w:cs="仿宋_GB2312" w:eastAsia="仿宋_GB2312"/>
                <w:sz w:val="20"/>
                <w:color w:val="000000"/>
              </w:rPr>
              <w:t>。</w:t>
            </w:r>
          </w:p>
          <w:p>
            <w:pPr>
              <w:pStyle w:val="null3"/>
              <w:ind w:left="225"/>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长期负责设备相关软件系统的升级维护，费用包含在投标报价中</w:t>
            </w:r>
            <w:r>
              <w:rPr>
                <w:rFonts w:ascii="仿宋_GB2312" w:hAnsi="仿宋_GB2312" w:cs="仿宋_GB2312" w:eastAsia="仿宋_GB2312"/>
                <w:sz w:val="20"/>
                <w:color w:val="000000"/>
              </w:rPr>
              <w:t>。</w:t>
            </w:r>
          </w:p>
          <w:p>
            <w:pPr>
              <w:pStyle w:val="null3"/>
              <w:ind w:left="225"/>
              <w:jc w:val="left"/>
            </w:pPr>
            <w:r>
              <w:rPr>
                <w:rFonts w:ascii="仿宋_GB2312" w:hAnsi="仿宋_GB2312" w:cs="仿宋_GB2312" w:eastAsia="仿宋_GB2312"/>
                <w:sz w:val="20"/>
                <w:color w:val="000000"/>
              </w:rPr>
              <w:t>(3)软件的安装环境应能兼容各种版本的计算机操作系统的安装和使用</w:t>
            </w:r>
            <w:r>
              <w:rPr>
                <w:rFonts w:ascii="仿宋_GB2312" w:hAnsi="仿宋_GB2312" w:cs="仿宋_GB2312" w:eastAsia="仿宋_GB2312"/>
                <w:sz w:val="20"/>
                <w:color w:val="000000"/>
              </w:rPr>
              <w:t>。</w:t>
            </w:r>
          </w:p>
          <w:p>
            <w:pPr>
              <w:pStyle w:val="null3"/>
              <w:ind w:left="225"/>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数量量化缺陷（一般金属损失、坑状金属损失、轴向凹</w:t>
            </w:r>
            <w:r>
              <w:rPr>
                <w:rFonts w:ascii="仿宋_GB2312" w:hAnsi="仿宋_GB2312" w:cs="仿宋_GB2312" w:eastAsia="仿宋_GB2312"/>
                <w:sz w:val="20"/>
                <w:color w:val="000000"/>
              </w:rPr>
              <w:t>沟和环向凹沟）的深度精度满足</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SY</w:t>
            </w:r>
            <w:r>
              <w:rPr>
                <w:rFonts w:ascii="仿宋_GB2312" w:hAnsi="仿宋_GB2312" w:cs="仿宋_GB2312" w:eastAsia="仿宋_GB2312"/>
                <w:sz w:val="20"/>
                <w:color w:val="000000"/>
              </w:rPr>
              <w:t>/T6597-2018</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提供开挖验证报告</w:t>
            </w:r>
            <w:r>
              <w:rPr>
                <w:rFonts w:ascii="仿宋_GB2312" w:hAnsi="仿宋_GB2312" w:cs="仿宋_GB2312" w:eastAsia="仿宋_GB2312"/>
                <w:sz w:val="20"/>
                <w:color w:val="000000"/>
              </w:rPr>
              <w:t>）</w:t>
            </w:r>
            <w:r>
              <w:rPr>
                <w:rFonts w:ascii="仿宋_GB2312" w:hAnsi="仿宋_GB2312" w:cs="仿宋_GB2312" w:eastAsia="仿宋_GB2312"/>
                <w:sz w:val="20"/>
                <w:color w:val="000000"/>
              </w:rPr>
              <w:t>，缺陷评估能够采用</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个以上国际标准进行</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提供数据分析系统中截图证明</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ind w:left="225"/>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投标人须保证能够在招标人的</w:t>
            </w:r>
            <w:r>
              <w:rPr>
                <w:rFonts w:ascii="仿宋_GB2312" w:hAnsi="仿宋_GB2312" w:cs="仿宋_GB2312" w:eastAsia="仿宋_GB2312"/>
                <w:sz w:val="20"/>
                <w:color w:val="000000"/>
              </w:rPr>
              <w:t>2台笔记本电脑和3台台式电脑</w:t>
            </w:r>
            <w:r>
              <w:rPr>
                <w:rFonts w:ascii="仿宋_GB2312" w:hAnsi="仿宋_GB2312" w:cs="仿宋_GB2312" w:eastAsia="仿宋_GB2312"/>
                <w:sz w:val="20"/>
                <w:color w:val="000000"/>
              </w:rPr>
              <w:t>安装调试</w:t>
            </w:r>
            <w:r>
              <w:rPr>
                <w:rFonts w:ascii="仿宋_GB2312" w:hAnsi="仿宋_GB2312" w:cs="仿宋_GB2312" w:eastAsia="仿宋_GB2312"/>
                <w:sz w:val="20"/>
                <w:color w:val="000000"/>
              </w:rPr>
              <w:t>软件系统</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)数据分析</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包括以下功能</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①</w:t>
            </w:r>
            <w:r>
              <w:rPr>
                <w:rFonts w:ascii="仿宋_GB2312" w:hAnsi="仿宋_GB2312" w:cs="仿宋_GB2312" w:eastAsia="仿宋_GB2312"/>
                <w:sz w:val="20"/>
                <w:color w:val="000000"/>
              </w:rPr>
              <w:t>展示原始数据</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②</w:t>
            </w:r>
            <w:r>
              <w:rPr>
                <w:rFonts w:ascii="仿宋_GB2312" w:hAnsi="仿宋_GB2312" w:cs="仿宋_GB2312" w:eastAsia="仿宋_GB2312"/>
                <w:sz w:val="20"/>
                <w:color w:val="000000"/>
              </w:rPr>
              <w:t>展示特征的绝对距离和相对距离</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③</w:t>
            </w:r>
            <w:r>
              <w:rPr>
                <w:rFonts w:ascii="仿宋_GB2312" w:hAnsi="仿宋_GB2312" w:cs="仿宋_GB2312" w:eastAsia="仿宋_GB2312"/>
                <w:sz w:val="20"/>
                <w:color w:val="000000"/>
              </w:rPr>
              <w:t>展示特征的时钟方位</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④</w:t>
            </w:r>
            <w:r>
              <w:rPr>
                <w:rFonts w:ascii="仿宋_GB2312" w:hAnsi="仿宋_GB2312" w:cs="仿宋_GB2312" w:eastAsia="仿宋_GB2312"/>
                <w:sz w:val="20"/>
                <w:color w:val="000000"/>
              </w:rPr>
              <w:t>测量管道上任意两点的轴向距离和环向距离</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⑤</w:t>
            </w:r>
            <w:r>
              <w:rPr>
                <w:rFonts w:ascii="仿宋_GB2312" w:hAnsi="仿宋_GB2312" w:cs="仿宋_GB2312" w:eastAsia="仿宋_GB2312"/>
                <w:sz w:val="20"/>
                <w:color w:val="000000"/>
              </w:rPr>
              <w:t>生成螺旋焊缝</w:t>
            </w:r>
            <w:r>
              <w:rPr>
                <w:rFonts w:ascii="仿宋_GB2312" w:hAnsi="仿宋_GB2312" w:cs="仿宋_GB2312" w:eastAsia="仿宋_GB2312"/>
                <w:sz w:val="20"/>
                <w:color w:val="000000"/>
              </w:rPr>
              <w:t>(直焊缝)与环焊缝交点的时钟方位</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⑥</w:t>
            </w:r>
            <w:r>
              <w:rPr>
                <w:rFonts w:ascii="仿宋_GB2312" w:hAnsi="仿宋_GB2312" w:cs="仿宋_GB2312" w:eastAsia="仿宋_GB2312"/>
                <w:sz w:val="20"/>
                <w:color w:val="000000"/>
              </w:rPr>
              <w:t>生成验证开挖单</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陕西省特种设备检验检测研究院指定地点。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设备安装、验收、使用方确认合格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按项目合同执行，质保期12个月。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本合同在履行过程中发生争议时，采购人及中标供应商双方应及时协商解决，协商或调解不成时，通过仲裁或诉讼解决。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其他要求详见招标文件附件。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2.提供2024年11月至今已缴纳的至少一个月的纳税证明或完税证明（以税款所属日期为准），依法免税的单位应提供相关证明材料。 3.提供2024年11月至今已缴纳的至少一个月的社会保障资金缴存凭证或社保机构开具的社会保险参保证明，依法不需要缴纳社会保障资金的单位应提供相关证明材料。 4.提供具有履行合同所必需的设备和专业技术能力的承诺声明。 5.提供参加政府采购活动前3年内，在经营活动中没有重大违法记录的书面声明。供应商需在项目电子化交易系统中按要求上传相应证明文件并进行电子签章。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赋码的2023年度或者2024年度财务报告（成立时间至投标文件递交截止时间不足一年的可提供成立后任意时段的资产负债表）或投标文件递交截止时间前六个月内其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法定代表人或其授权委托书：法定代表人授权委托书（附法定代表人身份证复印件及被授权人身份证复印件）；法定代表人直接参加投标只须提供法定代表人资格证明书（附法定代表人身份证复印件）。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其他应说明的事项.docx 中小企业声明函 商务要求及其他要求应答表.docx 标的清单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其他应说明的事项.docx 商务要求及其他要求应答表.docx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 其他应说明的事项.docx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商务要求及其他要求</w:t>
            </w:r>
          </w:p>
        </w:tc>
        <w:tc>
          <w:tcPr>
            <w:tcW w:type="dxa" w:w="3322"/>
          </w:tcPr>
          <w:p>
            <w:pPr>
              <w:pStyle w:val="null3"/>
            </w:pPr>
            <w:r>
              <w:rPr>
                <w:rFonts w:ascii="仿宋_GB2312" w:hAnsi="仿宋_GB2312" w:cs="仿宋_GB2312" w:eastAsia="仿宋_GB2312"/>
              </w:rPr>
              <w:t>符合招标文件中商务要求及其他要求，不能有采购人不能接受的附加条件。</w:t>
            </w:r>
          </w:p>
        </w:tc>
        <w:tc>
          <w:tcPr>
            <w:tcW w:type="dxa" w:w="1661"/>
          </w:tcPr>
          <w:p>
            <w:pPr>
              <w:pStyle w:val="null3"/>
            </w:pPr>
            <w:r>
              <w:rPr>
                <w:rFonts w:ascii="仿宋_GB2312" w:hAnsi="仿宋_GB2312" w:cs="仿宋_GB2312" w:eastAsia="仿宋_GB2312"/>
              </w:rPr>
              <w:t>其他应说明的事项.docx 商务要求及其他要求应答表.docx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技术参数、规格型号、品牌、性能等有详细说明，无缺漏项，配置齐全，优于或完全满足招标文件要求得7分。每有一项负偏离扣0.2分，扣完为止。 评审标准：根据投标人提供相应的产品检测报告或技术说明或产品彩页或功能截图等作为证明材料。未提供或所提供材料模糊不清或所提供材料无法有效证明的将视为不满足本项参数要求。</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设备供应</w:t>
            </w:r>
          </w:p>
        </w:tc>
        <w:tc>
          <w:tcPr>
            <w:tcW w:type="dxa" w:w="2492"/>
          </w:tcPr>
          <w:p>
            <w:pPr>
              <w:pStyle w:val="null3"/>
            </w:pPr>
            <w:r>
              <w:rPr>
                <w:rFonts w:ascii="仿宋_GB2312" w:hAnsi="仿宋_GB2312" w:cs="仿宋_GB2312" w:eastAsia="仿宋_GB2312"/>
              </w:rPr>
              <w:t>评审内容：针对本项目提供具体可行的设备供应方案，方案内容包含：①具体详细设备规格描述；②设备配置先进、选型科学合理，配置齐全；③确保设备供应渠道正常(包括不限于授权函或销售协议或代理协议等)；④检验手续合法有效、无产权纠纷。 评审标准：方案各部分内容全面详细、阐述条理清晰详尽、符合本项目采购需求得12分；评审内容每缺一项扣3分，评审内容有缺陷未完全响应评审标准的扣0.1-2.9分。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评审内容：投标人针对本项目提出具体的实施方案，方案内容包含：①进度计划;②质量保证措施；③供货组织计划，包括仓储、运输、交付、安装调试等内容；④组织机构人员配置；⑤应急预案；⑥验收方案。 评审标准：方案各部分内容全面详细、阐述条例清晰详尽、符合本项目采购需求，能保障本项目实施得18分；评审内容每缺一项扣3分，评审内容有缺陷未完全响应评审标准的每项扣0.1-2.9分。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1.所投产品（漏磁内检测器）需具有相关部门颁发的防爆认证证书得2分。提供证书资料须加盖公章，未提供或者提供证书资料模糊不清不得分。 2.投标人具有CNAS实验室认可证书，且认可的检测能力范围中的检测对象包含压力管道得2分。提供证书资料须加盖公章，未提供或者提供证书资料模糊不清不得分。 3.按照企业牵拉试验场先进程度，具备5种及以上管道规格牵拉实验能力的，得分3分；有牵拉实验场地且具备3-5种（不包）含管道规格牵拉实验能力的，得2分；有牵拉实验场地且具备1-3种（不包含）管道规格牵拉实验能力的，得1分。 注：提供不同规格牵拉样管图片等有效证明资料加盖公章。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提供2020年1月1日至投标文件递交截止时间产品类似合同业绩（以合同签订时间为准），1份业绩得2.5分，业绩满分5分（业绩证明须提供合同）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评审内容：投标人针对本项目提出具体的售后服务方案，方案内容包含：①售后服务保障体系；②售后服务人员组织；③备品、备件供应计划；④设备（产品）发生故障后的补救措施； 评审标准：方案各部分内容全面详细、阐述条理清晰详尽、符合本项目采购需求得12分；评审内容每缺一项扣3分，评审内容有缺陷未完全响应评审标准的扣0.1-2.9分。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评审内容：投标人针对本项目提出具体的培训方案，方案内容包含：①培训内容（设备调试、设备操作、备品备件更换、数据分析软件使用等）；②培训人员安排；③培训时间安排。 评审标准：方案各部分内容全面详细、阐述条理清晰详尽、符合本项目采购需求得9分；评审内容每缺一项扣3分，评审内容有缺陷未完全响应评审标准的扣0.1-2.9分。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 注：投标人符合小型、微型企业或监狱企业、残疾人福利性单位条件的，按“投标总报价×10%”进行扣减，用扣除后的价格参与评审。详见政策性扣减说明。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详见附件：商务要求及其他要求应答表.docx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