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版本号：LYHJ-ZB-01320250627002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2025年中央林恢资金（其他自然保护地和野生动植物保护）-陕西牛背梁国家级自然保护区--其他智能化安装项目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LYHJ-ZB-013</w:t>
      </w:r>
      <w:r>
        <w:br/>
      </w:r>
      <w:r>
        <w:br/>
      </w:r>
      <w:r>
        <w:br/>
      </w:r>
    </w:p>
    <w:p>
      <w:pPr>
        <w:pStyle w:val="null3"/>
        <w:jc w:val="center"/>
        <w:outlineLvl w:val="2"/>
      </w:pPr>
      <w:r>
        <w:rPr>
          <w:rFonts w:ascii="仿宋_GB2312" w:hAnsi="仿宋_GB2312" w:cs="仿宋_GB2312" w:eastAsia="仿宋_GB2312"/>
          <w:sz w:val="28"/>
          <w:b/>
        </w:rPr>
        <w:t>陕西牛背梁国家级自然保护区管理局</w:t>
      </w:r>
    </w:p>
    <w:p>
      <w:pPr>
        <w:pStyle w:val="null3"/>
        <w:jc w:val="center"/>
        <w:outlineLvl w:val="2"/>
      </w:pPr>
      <w:r>
        <w:rPr>
          <w:rFonts w:ascii="仿宋_GB2312" w:hAnsi="仿宋_GB2312" w:cs="仿宋_GB2312" w:eastAsia="仿宋_GB2312"/>
          <w:sz w:val="28"/>
          <w:b/>
        </w:rPr>
        <w:t>陕西朗屹恒基项目咨询管理有限公司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陕西朗屹恒基项目咨询管理有限公司</w:t>
      </w:r>
      <w:r>
        <w:rPr>
          <w:rFonts w:ascii="仿宋_GB2312" w:hAnsi="仿宋_GB2312" w:cs="仿宋_GB2312" w:eastAsia="仿宋_GB2312"/>
        </w:rPr>
        <w:t>（以下简称“代理机构”）受</w:t>
      </w:r>
      <w:r>
        <w:rPr>
          <w:rFonts w:ascii="仿宋_GB2312" w:hAnsi="仿宋_GB2312" w:cs="仿宋_GB2312" w:eastAsia="仿宋_GB2312"/>
        </w:rPr>
        <w:t>陕西牛背梁国家级自然保护区管理局</w:t>
      </w:r>
      <w:r>
        <w:rPr>
          <w:rFonts w:ascii="仿宋_GB2312" w:hAnsi="仿宋_GB2312" w:cs="仿宋_GB2312" w:eastAsia="仿宋_GB2312"/>
        </w:rPr>
        <w:t>委托，拟对</w:t>
      </w:r>
      <w:r>
        <w:rPr>
          <w:rFonts w:ascii="仿宋_GB2312" w:hAnsi="仿宋_GB2312" w:cs="仿宋_GB2312" w:eastAsia="仿宋_GB2312"/>
        </w:rPr>
        <w:t>2025年中央林恢资金（其他自然保护地和野生动植物保护）-陕西牛背梁国家级自然保护区--其他智能化安装项目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LYHJ-ZB-013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2025年中央林恢资金（其他自然保护地和野生动植物保护）-陕西牛背梁国家级自然保护区--其他智能化安装项目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本次拟建设12套生境因子监测系统、5 套野生动物动态监测系统、3 套自组网红外相机监测系统、以及前端监测数据的接入1项（具体详见磋商文件）。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采购包1（2025年中央林恢资金(其他自然保护地和野生动植物保护)-陕西牛背梁国家级自然保护区--其他智能化安装项目）：属于专门面向中小企业采购。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2023或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5、设备和专业技术能力声明：具有履行合同所必需的设备和专业技术能力的书面声明；</w:t>
      </w:r>
    </w:p>
    <w:p>
      <w:pPr>
        <w:pStyle w:val="null3"/>
      </w:pPr>
      <w:r>
        <w:rPr>
          <w:rFonts w:ascii="仿宋_GB2312" w:hAnsi="仿宋_GB2312" w:cs="仿宋_GB2312" w:eastAsia="仿宋_GB2312"/>
        </w:rPr>
        <w:t>6、法定代表人身份证明书或授权委托书：法定代表人直接参加投标的，须出具法定代表人身份证明书；法定代表人授权代表参加投标的，须出具法定代表人授权委托书；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信用查询截图：供应商不得为“信用中国”网站（www.creditchina.gov.cn）中列入失信被执行人和重大税收违法失信主体名单的单位，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10、本项目不接受联合体投标：提供非联合体投标声明；</w:t>
      </w:r>
    </w:p>
    <w:p>
      <w:pPr>
        <w:pStyle w:val="null3"/>
      </w:pPr>
      <w:r>
        <w:rPr>
          <w:rFonts w:ascii="仿宋_GB2312" w:hAnsi="仿宋_GB2312" w:cs="仿宋_GB2312" w:eastAsia="仿宋_GB2312"/>
        </w:rPr>
        <w:t>11、供应商资质：供应商须具备建设行政主管部门颁发的电子与智能化工程专业承包二级（含二级）以上资质证书，并具备合格有效的安全生产许可证；</w:t>
      </w:r>
    </w:p>
    <w:p>
      <w:pPr>
        <w:pStyle w:val="null3"/>
      </w:pPr>
      <w:r>
        <w:rPr>
          <w:rFonts w:ascii="仿宋_GB2312" w:hAnsi="仿宋_GB2312" w:cs="仿宋_GB2312" w:eastAsia="仿宋_GB2312"/>
        </w:rPr>
        <w:t>12、拟派项目负责人资质和专业要求：拟派项目经理须具备机电工程专业二级及以上注册建造师资格，须同时提供注册证、执业资格证及有效的建安B证。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陕西牛背梁国家级自然保护区管理局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西安长安区航天大道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陕西牛背梁国家级自然保护区管理局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029-85642482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陕西朗屹恒基项目咨询管理有限公司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陕西省咸阳市秦都区滨河西路5号咸阳非金属矿研究设计院院内办公楼8楼中段中户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19299397951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说明：成交人在合同签订后的15日内支付，具体以合同约定为准。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经与采购单位协商，根据成交金额，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收取，由成交方向采购代理公司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踏勘时间：2025-07-06 09:00:00</w:t>
            </w:r>
          </w:p>
          <w:p>
            <w:pPr>
              <w:pStyle w:val="null3"/>
              <w:ind w:firstLine="975"/>
            </w:pPr>
            <w:r>
              <w:rPr>
                <w:rFonts w:ascii="仿宋_GB2312" w:hAnsi="仿宋_GB2312" w:cs="仿宋_GB2312" w:eastAsia="仿宋_GB2312"/>
              </w:rPr>
              <w:t>踏勘地点：西安市长安区航天大道59号陕西牛背梁国家级自然保护区管理局</w:t>
            </w:r>
          </w:p>
          <w:p>
            <w:pPr>
              <w:pStyle w:val="null3"/>
              <w:ind w:firstLine="975"/>
            </w:pPr>
            <w:r>
              <w:rPr>
                <w:rFonts w:ascii="仿宋_GB2312" w:hAnsi="仿宋_GB2312" w:cs="仿宋_GB2312" w:eastAsia="仿宋_GB2312"/>
              </w:rPr>
              <w:t>联系人：刘乐</w:t>
            </w:r>
          </w:p>
          <w:p>
            <w:pPr>
              <w:pStyle w:val="null3"/>
              <w:ind w:firstLine="975"/>
            </w:pPr>
            <w:r>
              <w:rPr>
                <w:rFonts w:ascii="仿宋_GB2312" w:hAnsi="仿宋_GB2312" w:cs="仿宋_GB2312" w:eastAsia="仿宋_GB2312"/>
              </w:rPr>
              <w:t>联系电话号码：19299397951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陕西牛背梁国家级自然保护区管理局</w:t>
      </w:r>
      <w:r>
        <w:rPr>
          <w:rFonts w:ascii="仿宋_GB2312" w:hAnsi="仿宋_GB2312" w:cs="仿宋_GB2312" w:eastAsia="仿宋_GB2312"/>
        </w:rPr>
        <w:t>和</w:t>
      </w:r>
      <w:r>
        <w:rPr>
          <w:rFonts w:ascii="仿宋_GB2312" w:hAnsi="仿宋_GB2312" w:cs="仿宋_GB2312" w:eastAsia="仿宋_GB2312"/>
        </w:rPr>
        <w:t>陕西朗屹恒基项目咨询管理有限公司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陕西牛背梁国家级自然保护区管理局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陕西朗屹恒基项目咨询管理有限公司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陕西牛背梁国家级自然保护区管理局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陕西朗屹恒基项目咨询管理有限公司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符合磋商文件要求、合同及国家相关标准。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联系人：刘乐</w:t>
      </w:r>
    </w:p>
    <w:p>
      <w:pPr>
        <w:pStyle w:val="null3"/>
      </w:pPr>
      <w:r>
        <w:rPr>
          <w:rFonts w:ascii="仿宋_GB2312" w:hAnsi="仿宋_GB2312" w:cs="仿宋_GB2312" w:eastAsia="仿宋_GB2312"/>
        </w:rPr>
        <w:t>联系电话：19299397951</w:t>
      </w:r>
    </w:p>
    <w:p>
      <w:pPr>
        <w:pStyle w:val="null3"/>
      </w:pPr>
      <w:r>
        <w:rPr>
          <w:rFonts w:ascii="仿宋_GB2312" w:hAnsi="仿宋_GB2312" w:cs="仿宋_GB2312" w:eastAsia="仿宋_GB2312"/>
        </w:rPr>
        <w:t>地址：陕西省咸阳市秦都区滨河西路5号咸阳非金属矿研究设计院院内办公楼8楼中段中户</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3046000.00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3,046,000.00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434000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434,000.00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3</w:t>
            </w:r>
          </w:p>
        </w:tc>
        <w:tc>
          <w:tcPr>
            <w:tcW w:type="dxa" w:w="1384"/>
          </w:tcPr>
          <w:p>
            <w:pPr>
              <w:pStyle w:val="null3"/>
            </w:pPr>
            <w:r>
              <w:rPr>
                <w:rFonts w:ascii="仿宋_GB2312" w:hAnsi="仿宋_GB2312" w:cs="仿宋_GB2312" w:eastAsia="仿宋_GB2312"/>
              </w:rPr>
              <w:t>20000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标的名称：3046000.00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87"/>
              <w:gridCol w:w="1271"/>
              <w:gridCol w:w="1823"/>
              <w:gridCol w:w="534"/>
              <w:gridCol w:w="469"/>
              <w:gridCol w:w="509"/>
            </w:tblGrid>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序号</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建设内容</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技术参数</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单位</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数量</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备注</w:t>
                  </w:r>
                </w:p>
              </w:tc>
            </w:tr>
            <w:tr>
              <w:tc>
                <w:tcPr>
                  <w:tcW w:type="dxa" w:w="175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其他智能化安装工程</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1</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b/>
                      <w:color w:val="000000"/>
                    </w:rPr>
                    <w:t>生境因子监测系统</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1.1</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气象因子监测</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温度、相对湿度、风向、风速、气压、雨量、负氧离子、紫外线、二氧化碳、PM2.5、PM10</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1.2</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土壤因子监测</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土壤温度、土壤湿度、土壤热通量、电导率</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2</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b/>
                      <w:color w:val="000000"/>
                    </w:rPr>
                    <w:t>野生动物动态监测系统</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2.1</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监测立杆</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材质:国标低硅低碳高强度Q235,</w:t>
                  </w:r>
                  <w:r>
                    <w:br/>
                  </w:r>
                  <w:r>
                    <w:rPr>
                      <w:rFonts w:ascii="仿宋_GB2312" w:hAnsi="仿宋_GB2312" w:cs="仿宋_GB2312" w:eastAsia="仿宋_GB2312"/>
                      <w:color w:val="000000"/>
                    </w:rPr>
                    <w:t xml:space="preserve"> 厚度:≥5mm</w:t>
                  </w:r>
                  <w:r>
                    <w:br/>
                  </w:r>
                  <w:r>
                    <w:rPr>
                      <w:rFonts w:ascii="仿宋_GB2312" w:hAnsi="仿宋_GB2312" w:cs="仿宋_GB2312" w:eastAsia="仿宋_GB2312"/>
                      <w:color w:val="000000"/>
                    </w:rPr>
                    <w:t xml:space="preserve"> 底部法兰厚度:≥12mm</w:t>
                  </w:r>
                  <w:r>
                    <w:br/>
                  </w:r>
                  <w:r>
                    <w:rPr>
                      <w:rFonts w:ascii="仿宋_GB2312" w:hAnsi="仿宋_GB2312" w:cs="仿宋_GB2312" w:eastAsia="仿宋_GB2312"/>
                      <w:color w:val="000000"/>
                    </w:rPr>
                    <w:t xml:space="preserve"> 表面:热镀锌</w:t>
                  </w:r>
                  <w:r>
                    <w:br/>
                  </w:r>
                  <w:r>
                    <w:rPr>
                      <w:rFonts w:ascii="仿宋_GB2312" w:hAnsi="仿宋_GB2312" w:cs="仿宋_GB2312" w:eastAsia="仿宋_GB2312"/>
                      <w:color w:val="000000"/>
                    </w:rPr>
                    <w:t xml:space="preserve"> 基础:采用法兰盘加预埋螺栓连接杆体</w:t>
                  </w:r>
                  <w:r>
                    <w:br/>
                  </w:r>
                  <w:r>
                    <w:rPr>
                      <w:rFonts w:ascii="仿宋_GB2312" w:hAnsi="仿宋_GB2312" w:cs="仿宋_GB2312" w:eastAsia="仿宋_GB2312"/>
                      <w:color w:val="000000"/>
                    </w:rPr>
                    <w:t xml:space="preserve"> 高度:≥8 米</w:t>
                  </w:r>
                  <w:r>
                    <w:br/>
                  </w:r>
                  <w:r>
                    <w:rPr>
                      <w:rFonts w:ascii="仿宋_GB2312" w:hAnsi="仿宋_GB2312" w:cs="仿宋_GB2312" w:eastAsia="仿宋_GB2312"/>
                      <w:color w:val="000000"/>
                    </w:rPr>
                    <w:t xml:space="preserve"> 横臂长度:1米</w:t>
                  </w:r>
                  <w:r>
                    <w:br/>
                  </w:r>
                  <w:r>
                    <w:rPr>
                      <w:rFonts w:ascii="仿宋_GB2312" w:hAnsi="仿宋_GB2312" w:cs="仿宋_GB2312" w:eastAsia="仿宋_GB2312"/>
                      <w:color w:val="000000"/>
                    </w:rPr>
                    <w:t xml:space="preserve"> 包含3条地锚拉线</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根</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2.2</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双光谱球机</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热成像分辨率：256 × 192</w:t>
                  </w:r>
                  <w:r>
                    <w:br/>
                  </w:r>
                  <w:r>
                    <w:rPr>
                      <w:rFonts w:ascii="仿宋_GB2312" w:hAnsi="仿宋_GB2312" w:cs="仿宋_GB2312" w:eastAsia="仿宋_GB2312"/>
                      <w:color w:val="000000"/>
                    </w:rPr>
                    <w:t xml:space="preserve"> 热成像焦距：10 mm</w:t>
                  </w:r>
                  <w:r>
                    <w:br/>
                  </w:r>
                  <w:r>
                    <w:rPr>
                      <w:rFonts w:ascii="仿宋_GB2312" w:hAnsi="仿宋_GB2312" w:cs="仿宋_GB2312" w:eastAsia="仿宋_GB2312"/>
                      <w:color w:val="000000"/>
                    </w:rPr>
                    <w:t xml:space="preserve"> 可见光焦距：4.8-153mm，</w:t>
                  </w:r>
                  <w:r>
                    <w:br/>
                  </w:r>
                  <w:r>
                    <w:rPr>
                      <w:rFonts w:ascii="仿宋_GB2312" w:hAnsi="仿宋_GB2312" w:cs="仿宋_GB2312" w:eastAsia="仿宋_GB2312"/>
                      <w:color w:val="000000"/>
                    </w:rPr>
                    <w:t xml:space="preserve"> 光学变倍32倍</w:t>
                  </w:r>
                  <w:r>
                    <w:br/>
                  </w:r>
                  <w:r>
                    <w:rPr>
                      <w:rFonts w:ascii="仿宋_GB2312" w:hAnsi="仿宋_GB2312" w:cs="仿宋_GB2312" w:eastAsia="仿宋_GB2312"/>
                      <w:color w:val="000000"/>
                    </w:rPr>
                    <w:t xml:space="preserve"> 水平范围：360°连续旋转</w:t>
                  </w:r>
                  <w:r>
                    <w:br/>
                  </w:r>
                  <w:r>
                    <w:rPr>
                      <w:rFonts w:ascii="仿宋_GB2312" w:hAnsi="仿宋_GB2312" w:cs="仿宋_GB2312" w:eastAsia="仿宋_GB2312"/>
                      <w:color w:val="000000"/>
                    </w:rPr>
                    <w:t xml:space="preserve"> 垂直范围：-5°~90°</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台</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气象因子监测</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温度、相对湿度、风向、风速、气压、雨量、负氧离子、紫外线、二氧化碳、PM2.5、PM10</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2.4</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土壤因子监测</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土壤温度、土壤湿度、土壤热通量、电导率</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2.5</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太阳能板支架</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定制</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2.6</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太阳能板</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最大功率：≥400Wp/块</w:t>
                  </w:r>
                  <w:r>
                    <w:br/>
                  </w:r>
                  <w:r>
                    <w:rPr>
                      <w:rFonts w:ascii="仿宋_GB2312" w:hAnsi="仿宋_GB2312" w:cs="仿宋_GB2312" w:eastAsia="仿宋_GB2312"/>
                      <w:color w:val="000000"/>
                    </w:rPr>
                    <w:t xml:space="preserve"> 最佳工作电压：36.0V</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2.7</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太阳能蓄电池</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额定电压：12V</w:t>
                  </w:r>
                  <w:r>
                    <w:br/>
                  </w:r>
                  <w:r>
                    <w:rPr>
                      <w:rFonts w:ascii="仿宋_GB2312" w:hAnsi="仿宋_GB2312" w:cs="仿宋_GB2312" w:eastAsia="仿宋_GB2312"/>
                      <w:color w:val="000000"/>
                    </w:rPr>
                    <w:t xml:space="preserve"> 额定容量：≥100AH</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20</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2.8</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电池防护箱</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材质：聚丙烯</w:t>
                  </w:r>
                  <w:r>
                    <w:br/>
                  </w:r>
                  <w:r>
                    <w:rPr>
                      <w:rFonts w:ascii="仿宋_GB2312" w:hAnsi="仿宋_GB2312" w:cs="仿宋_GB2312" w:eastAsia="仿宋_GB2312"/>
                      <w:color w:val="000000"/>
                    </w:rPr>
                    <w:t xml:space="preserve"> 厚度：≥3mm</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20</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2.9</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无线网桥</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频段 4920～6100MHz</w:t>
                  </w:r>
                  <w:r>
                    <w:br/>
                  </w:r>
                  <w:r>
                    <w:rPr>
                      <w:rFonts w:ascii="仿宋_GB2312" w:hAnsi="仿宋_GB2312" w:cs="仿宋_GB2312" w:eastAsia="仿宋_GB2312"/>
                      <w:color w:val="000000"/>
                    </w:rPr>
                    <w:t xml:space="preserve"> 最大传输速率:≥300Mbps</w:t>
                  </w:r>
                  <w:r>
                    <w:br/>
                  </w:r>
                  <w:r>
                    <w:rPr>
                      <w:rFonts w:ascii="仿宋_GB2312" w:hAnsi="仿宋_GB2312" w:cs="仿宋_GB2312" w:eastAsia="仿宋_GB2312"/>
                      <w:color w:val="000000"/>
                    </w:rPr>
                    <w:t xml:space="preserve"> 最大输出功率:≥26dBm(400mW)</w:t>
                  </w:r>
                  <w:r>
                    <w:br/>
                  </w:r>
                  <w:r>
                    <w:rPr>
                      <w:rFonts w:ascii="仿宋_GB2312" w:hAnsi="仿宋_GB2312" w:cs="仿宋_GB2312" w:eastAsia="仿宋_GB2312"/>
                      <w:color w:val="000000"/>
                    </w:rPr>
                    <w:t xml:space="preserve"> 防护等级:≥IP68</w:t>
                  </w:r>
                  <w:r>
                    <w:br/>
                  </w:r>
                  <w:r>
                    <w:rPr>
                      <w:rFonts w:ascii="仿宋_GB2312" w:hAnsi="仿宋_GB2312" w:cs="仿宋_GB2312" w:eastAsia="仿宋_GB2312"/>
                      <w:color w:val="000000"/>
                    </w:rPr>
                    <w:t xml:space="preserve"> 工作温度:-40℃~75℃</w:t>
                  </w:r>
                  <w:r>
                    <w:br/>
                  </w:r>
                  <w:r>
                    <w:rPr>
                      <w:rFonts w:ascii="仿宋_GB2312" w:hAnsi="仿宋_GB2312" w:cs="仿宋_GB2312" w:eastAsia="仿宋_GB2312"/>
                      <w:color w:val="000000"/>
                    </w:rPr>
                    <w:t xml:space="preserve"> 供电方式:POE 供电</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台</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2.10</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物联网控制箱</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支持太阳能供电系统控制</w:t>
                  </w:r>
                  <w:r>
                    <w:br/>
                  </w:r>
                  <w:r>
                    <w:rPr>
                      <w:rFonts w:ascii="仿宋_GB2312" w:hAnsi="仿宋_GB2312" w:cs="仿宋_GB2312" w:eastAsia="仿宋_GB2312"/>
                      <w:color w:val="000000"/>
                    </w:rPr>
                    <w:t xml:space="preserve"> 10Mbps，100Mbps，1000Mbps自动适应</w:t>
                  </w:r>
                  <w:r>
                    <w:br/>
                  </w:r>
                  <w:r>
                    <w:rPr>
                      <w:rFonts w:ascii="仿宋_GB2312" w:hAnsi="仿宋_GB2312" w:cs="仿宋_GB2312" w:eastAsia="仿宋_GB2312"/>
                      <w:color w:val="000000"/>
                    </w:rPr>
                    <w:t xml:space="preserve"> ≥4个千兆网络数据接口</w:t>
                  </w:r>
                  <w:r>
                    <w:br/>
                  </w:r>
                  <w:r>
                    <w:rPr>
                      <w:rFonts w:ascii="仿宋_GB2312" w:hAnsi="仿宋_GB2312" w:cs="仿宋_GB2312" w:eastAsia="仿宋_GB2312"/>
                      <w:color w:val="000000"/>
                    </w:rPr>
                    <w:t xml:space="preserve"> ≥3个poe千兆网络数据接口</w:t>
                  </w:r>
                  <w:r>
                    <w:br/>
                  </w:r>
                  <w:r>
                    <w:rPr>
                      <w:rFonts w:ascii="仿宋_GB2312" w:hAnsi="仿宋_GB2312" w:cs="仿宋_GB2312" w:eastAsia="仿宋_GB2312"/>
                      <w:color w:val="000000"/>
                    </w:rPr>
                    <w:t xml:space="preserve"> 支持12V/24V等多种供电方式用以接入不同工作电压，功率的设备。</w:t>
                  </w:r>
                  <w:r>
                    <w:br/>
                  </w:r>
                  <w:r>
                    <w:rPr>
                      <w:rFonts w:ascii="仿宋_GB2312" w:hAnsi="仿宋_GB2312" w:cs="仿宋_GB2312" w:eastAsia="仿宋_GB2312"/>
                      <w:color w:val="000000"/>
                    </w:rPr>
                    <w:t xml:space="preserve"> 通过网络等方式进行远程供电断电等控制，也可进行设备脱机定时重启。支持断电记忆。</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2.11</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基础施工</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主基坑1m*1m*1.5m及3处锚坑0.8m*0.8m*1m开挖及C25混凝土浇筑</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处</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3</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b/>
                      <w:color w:val="000000"/>
                    </w:rPr>
                    <w:t>自组网红外相机监测系统</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3.1</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自组网中心处理站</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支持跳频，避免同频干扰</w:t>
                  </w:r>
                  <w:r>
                    <w:br/>
                  </w:r>
                  <w:r>
                    <w:rPr>
                      <w:rFonts w:ascii="仿宋_GB2312" w:hAnsi="仿宋_GB2312" w:cs="仿宋_GB2312" w:eastAsia="仿宋_GB2312"/>
                      <w:color w:val="000000"/>
                    </w:rPr>
                    <w:t xml:space="preserve"> 支持多种组网方式：点对点，点对多</w:t>
                  </w:r>
                  <w:r>
                    <w:br/>
                  </w:r>
                  <w:r>
                    <w:rPr>
                      <w:rFonts w:ascii="仿宋_GB2312" w:hAnsi="仿宋_GB2312" w:cs="仿宋_GB2312" w:eastAsia="仿宋_GB2312"/>
                      <w:color w:val="000000"/>
                    </w:rPr>
                    <w:t xml:space="preserve"> 双天线设计，支持双向通信，支持单发单收，单发双收</w:t>
                  </w:r>
                  <w:r>
                    <w:br/>
                  </w:r>
                  <w:r>
                    <w:rPr>
                      <w:rFonts w:ascii="仿宋_GB2312" w:hAnsi="仿宋_GB2312" w:cs="仿宋_GB2312" w:eastAsia="仿宋_GB2312"/>
                      <w:color w:val="000000"/>
                    </w:rPr>
                    <w:t xml:space="preserve"> 低功耗设计，整机功耗不大于3.5W</w:t>
                  </w:r>
                  <w:r>
                    <w:br/>
                  </w:r>
                  <w:r>
                    <w:rPr>
                      <w:rFonts w:ascii="仿宋_GB2312" w:hAnsi="仿宋_GB2312" w:cs="仿宋_GB2312" w:eastAsia="仿宋_GB2312"/>
                      <w:color w:val="000000"/>
                    </w:rPr>
                    <w:t xml:space="preserve"> 非视距低功耗远距离传输，视距≥5km，山地林区1～3km</w:t>
                  </w:r>
                  <w:r>
                    <w:br/>
                  </w:r>
                  <w:r>
                    <w:rPr>
                      <w:rFonts w:ascii="仿宋_GB2312" w:hAnsi="仿宋_GB2312" w:cs="仿宋_GB2312" w:eastAsia="仿宋_GB2312"/>
                      <w:color w:val="000000"/>
                    </w:rPr>
                    <w:t xml:space="preserve"> 最大并发数不小于16个</w:t>
                  </w:r>
                  <w:r>
                    <w:br/>
                  </w:r>
                  <w:r>
                    <w:rPr>
                      <w:rFonts w:ascii="仿宋_GB2312" w:hAnsi="仿宋_GB2312" w:cs="仿宋_GB2312" w:eastAsia="仿宋_GB2312"/>
                      <w:color w:val="000000"/>
                    </w:rPr>
                    <w:t xml:space="preserve"> 最大速率不小于30Mbps</w:t>
                  </w:r>
                  <w:r>
                    <w:br/>
                  </w:r>
                  <w:r>
                    <w:rPr>
                      <w:rFonts w:ascii="仿宋_GB2312" w:hAnsi="仿宋_GB2312" w:cs="仿宋_GB2312" w:eastAsia="仿宋_GB2312"/>
                      <w:color w:val="000000"/>
                    </w:rPr>
                    <w:t xml:space="preserve"> 工作温度-40至+80摄氏度</w:t>
                  </w:r>
                  <w:r>
                    <w:br/>
                  </w:r>
                  <w:r>
                    <w:rPr>
                      <w:rFonts w:ascii="仿宋_GB2312" w:hAnsi="仿宋_GB2312" w:cs="仿宋_GB2312" w:eastAsia="仿宋_GB2312"/>
                      <w:color w:val="000000"/>
                    </w:rPr>
                    <w:t xml:space="preserve"> 工作湿度最大98%</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台</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包含安转调试</w:t>
                  </w: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3.2</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自组网红外相机</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最大传输速率不小于30Mbps</w:t>
                  </w:r>
                  <w:r>
                    <w:br/>
                  </w:r>
                  <w:r>
                    <w:rPr>
                      <w:rFonts w:ascii="仿宋_GB2312" w:hAnsi="仿宋_GB2312" w:cs="仿宋_GB2312" w:eastAsia="仿宋_GB2312"/>
                      <w:color w:val="000000"/>
                    </w:rPr>
                    <w:t xml:space="preserve"> 双天线设计，支持双向通信，支持单发单收，单发双收</w:t>
                  </w:r>
                  <w:r>
                    <w:br/>
                  </w:r>
                  <w:r>
                    <w:rPr>
                      <w:rFonts w:ascii="仿宋_GB2312" w:hAnsi="仿宋_GB2312" w:cs="仿宋_GB2312" w:eastAsia="仿宋_GB2312"/>
                      <w:color w:val="000000"/>
                    </w:rPr>
                    <w:t xml:space="preserve"> 支持跳频，避免同频干扰</w:t>
                  </w:r>
                  <w:r>
                    <w:br/>
                  </w:r>
                  <w:r>
                    <w:rPr>
                      <w:rFonts w:ascii="仿宋_GB2312" w:hAnsi="仿宋_GB2312" w:cs="仿宋_GB2312" w:eastAsia="仿宋_GB2312"/>
                      <w:color w:val="000000"/>
                    </w:rPr>
                    <w:t xml:space="preserve"> 支持GPS自动定位及授时</w:t>
                  </w:r>
                  <w:r>
                    <w:br/>
                  </w:r>
                  <w:r>
                    <w:rPr>
                      <w:rFonts w:ascii="仿宋_GB2312" w:hAnsi="仿宋_GB2312" w:cs="仿宋_GB2312" w:eastAsia="仿宋_GB2312"/>
                      <w:color w:val="000000"/>
                    </w:rPr>
                    <w:t xml:space="preserve"> 支持4K（3840*2160）有声视频</w:t>
                  </w:r>
                  <w:r>
                    <w:br/>
                  </w:r>
                  <w:r>
                    <w:rPr>
                      <w:rFonts w:ascii="仿宋_GB2312" w:hAnsi="仿宋_GB2312" w:cs="仿宋_GB2312" w:eastAsia="仿宋_GB2312"/>
                      <w:color w:val="000000"/>
                    </w:rPr>
                    <w:t xml:space="preserve"> 镜头F=1.6大光圈镜头,FOV=65度</w:t>
                  </w:r>
                  <w:r>
                    <w:br/>
                  </w:r>
                  <w:r>
                    <w:rPr>
                      <w:rFonts w:ascii="仿宋_GB2312" w:hAnsi="仿宋_GB2312" w:cs="仿宋_GB2312" w:eastAsia="仿宋_GB2312"/>
                      <w:color w:val="000000"/>
                    </w:rPr>
                    <w:t xml:space="preserve"> 工作温度-40至+80摄氏度</w:t>
                  </w:r>
                  <w:r>
                    <w:br/>
                  </w:r>
                  <w:r>
                    <w:rPr>
                      <w:rFonts w:ascii="仿宋_GB2312" w:hAnsi="仿宋_GB2312" w:cs="仿宋_GB2312" w:eastAsia="仿宋_GB2312"/>
                      <w:color w:val="000000"/>
                    </w:rPr>
                    <w:t xml:space="preserve"> 工作湿度最大98%</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台</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包含安转调试</w:t>
                  </w: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3.3</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自组网红外相机供电</w:t>
                  </w:r>
                </w:p>
              </w:tc>
              <w:tc>
                <w:tcPr>
                  <w:tcW w:type="dxa" w:w="18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单晶硅18V40W太阳能板</w:t>
                  </w:r>
                  <w:r>
                    <w:br/>
                  </w:r>
                  <w:r>
                    <w:rPr>
                      <w:rFonts w:ascii="仿宋_GB2312" w:hAnsi="仿宋_GB2312" w:cs="仿宋_GB2312" w:eastAsia="仿宋_GB2312"/>
                      <w:color w:val="000000"/>
                    </w:rPr>
                    <w:t xml:space="preserve"> 18650锂电池组</w:t>
                  </w:r>
                  <w:r>
                    <w:br/>
                  </w:r>
                  <w:r>
                    <w:rPr>
                      <w:rFonts w:ascii="仿宋_GB2312" w:hAnsi="仿宋_GB2312" w:cs="仿宋_GB2312" w:eastAsia="仿宋_GB2312"/>
                      <w:color w:val="000000"/>
                    </w:rPr>
                    <w:t xml:space="preserve"> 电压：12V</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套</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3.4</w:t>
                  </w:r>
                </w:p>
              </w:tc>
              <w:tc>
                <w:tcPr>
                  <w:tcW w:type="dxa" w:w="12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内存卡</w:t>
                  </w:r>
                </w:p>
              </w:tc>
              <w:tc>
                <w:tcPr>
                  <w:tcW w:type="dxa" w:w="18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≥64G内存</w:t>
                  </w:r>
                </w:p>
              </w:tc>
              <w:tc>
                <w:tcPr>
                  <w:tcW w:type="dxa" w:w="5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张</w:t>
                  </w:r>
                </w:p>
              </w:tc>
              <w:tc>
                <w:tcPr>
                  <w:tcW w:type="dxa" w:w="4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pPr>
      <w:r>
        <w:rPr>
          <w:rFonts w:ascii="仿宋_GB2312" w:hAnsi="仿宋_GB2312" w:cs="仿宋_GB2312" w:eastAsia="仿宋_GB2312"/>
        </w:rPr>
        <w:t>标的名称：434000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59"/>
              <w:gridCol w:w="2059"/>
              <w:gridCol w:w="932"/>
              <w:gridCol w:w="595"/>
              <w:gridCol w:w="568"/>
              <w:gridCol w:w="479"/>
            </w:tblGrid>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序号</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建设内容</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技术参数</w:t>
                  </w: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单位</w:t>
                  </w: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数量</w:t>
                  </w: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备注</w:t>
                  </w:r>
                </w:p>
              </w:tc>
            </w:tr>
            <w:tr>
              <w:tc>
                <w:tcPr>
                  <w:tcW w:type="dxa" w:w="251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其他服务</w:t>
                  </w:r>
                </w:p>
              </w:tc>
              <w:tc>
                <w:tcPr>
                  <w:tcW w:type="dxa" w:w="93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b/>
                      <w:color w:val="000000"/>
                    </w:rPr>
                    <w:t>基础材料二次倒运</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b/>
                      <w:color w:val="000000"/>
                    </w:rPr>
                    <w:t>设备材料人工二次倒运上山</w:t>
                  </w: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批</w:t>
                  </w: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b/>
                      <w:color w:val="000000"/>
                    </w:rPr>
                    <w:t>前端监测数据接入</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2.1</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color w:val="000000"/>
                    </w:rPr>
                    <w:t>生境因子监测传感器对接已建平台</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定制、自研</w:t>
                  </w: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项</w:t>
                  </w: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2.2</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color w:val="000000"/>
                    </w:rPr>
                    <w:t>生境因子数据入库接入</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定制、自研</w:t>
                  </w: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项</w:t>
                  </w: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2.3</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color w:val="000000"/>
                    </w:rPr>
                    <w:t>野生动物动态监测系统与现有平台对接</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定制、自研</w:t>
                  </w: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项</w:t>
                  </w: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2.4</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color w:val="000000"/>
                    </w:rPr>
                    <w:t>野生动物动态监测系统存储接入</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定制、自研</w:t>
                  </w: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项</w:t>
                  </w: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2.5</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color w:val="000000"/>
                    </w:rPr>
                    <w:t>自组网红外相机监测系统数据对接</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定制、自研</w:t>
                  </w: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项</w:t>
                  </w: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2.6</w:t>
                  </w:r>
                </w:p>
              </w:tc>
              <w:tc>
                <w:tcPr>
                  <w:tcW w:type="dxa" w:w="20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color w:val="000000"/>
                    </w:rPr>
                    <w:t>自组网红外相机监测系统数据存储对接</w:t>
                  </w:r>
                </w:p>
              </w:tc>
              <w:tc>
                <w:tcPr>
                  <w:tcW w:type="dxa" w:w="9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定制、自研</w:t>
                  </w:r>
                </w:p>
              </w:tc>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项</w:t>
                  </w:r>
                </w:p>
              </w:tc>
              <w:tc>
                <w:tcPr>
                  <w:tcW w:type="dxa" w:w="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47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pPr>
      <w:r>
        <w:rPr>
          <w:rFonts w:ascii="仿宋_GB2312" w:hAnsi="仿宋_GB2312" w:cs="仿宋_GB2312" w:eastAsia="仿宋_GB2312"/>
        </w:rPr>
        <w:t>标的名称：20000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519"/>
              <w:gridCol w:w="692"/>
              <w:gridCol w:w="2030"/>
              <w:gridCol w:w="672"/>
              <w:gridCol w:w="642"/>
              <w:gridCol w:w="542"/>
            </w:tblGrid>
            <w:tr>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序号</w:t>
                  </w:r>
                </w:p>
              </w:tc>
              <w:tc>
                <w:tcPr>
                  <w:tcW w:type="dxa" w:w="6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建设内容</w:t>
                  </w:r>
                </w:p>
              </w:tc>
              <w:tc>
                <w:tcPr>
                  <w:tcW w:type="dxa" w:w="20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技术参数</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单位</w:t>
                  </w: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数量</w:t>
                  </w:r>
                </w:p>
              </w:tc>
              <w:tc>
                <w:tcPr>
                  <w:tcW w:type="dxa" w:w="5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备注</w:t>
                  </w:r>
                </w:p>
              </w:tc>
            </w:tr>
            <w:tr>
              <w:tc>
                <w:tcPr>
                  <w:tcW w:type="dxa" w:w="121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b/>
                      <w:color w:val="000000"/>
                    </w:rPr>
                    <w:t>其他信息化设备</w:t>
                  </w:r>
                </w:p>
              </w:tc>
              <w:tc>
                <w:tcPr>
                  <w:tcW w:type="dxa" w:w="20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4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6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辅材</w:t>
                  </w:r>
                </w:p>
              </w:tc>
              <w:tc>
                <w:tcPr>
                  <w:tcW w:type="dxa" w:w="20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管、线、卡、扣、接头、胶带等辅材</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批</w:t>
                  </w:r>
                </w:p>
              </w:tc>
              <w:tc>
                <w:tcPr>
                  <w:tcW w:type="dxa" w:w="6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62</w:t>
                  </w:r>
                </w:p>
              </w:tc>
              <w:tc>
                <w:tcPr>
                  <w:tcW w:type="dxa" w:w="5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符合磋商文件要求、合同及国家相关标准。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因本项目地形复杂实施难度大，特此组织现场踏勘。定于2025年7月6日出发，需要踏勘的供应商请在2025年7月5日及时联系代理机构，不参与踏勘的供应商由此造成的后果自行承担，踏勘产生的费用供应商自理。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 采购项目的磋商响应文件，确定成交后，成交供应商需交纸质版磋商响应文件，正本壹份、副本贰份、电子版叁份（U盘一套标明供应商名称，随正本密封）用于项目存档。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单位，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供应商须具备建设行政主管部门颁发的电子与智能化工程专业承包二级（含二级）以上资质证书，并具备合格有效的安全生产许可证；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拟派项目经理须具备机电工程专业二级及以上注册建造师资格，须同时提供注册证、执业资格证及有效的建安B证。</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分项报价表.xlsx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 磋商响应文件至少包括：（1）响应函、（2）响应报价表、（3）供应商资格证明文件。</w:t>
            </w:r>
          </w:p>
        </w:tc>
        <w:tc>
          <w:tcPr>
            <w:tcW w:type="dxa" w:w="1661"/>
          </w:tcPr>
          <w:p>
            <w:pPr>
              <w:pStyle w:val="null3"/>
            </w:pPr>
            <w:r>
              <w:rPr>
                <w:rFonts w:ascii="仿宋_GB2312" w:hAnsi="仿宋_GB2312" w:cs="仿宋_GB2312" w:eastAsia="仿宋_GB2312"/>
              </w:rPr>
              <w:t>响应文件封面 分项报价表.xlsx 报价函 陕西省政府采购投标人拒绝政府采购领域商业贿赂承诺书.pdf 供应商应提交的相关资格证明材料.pdf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响应文件封面 技术服务合同条款及其他商务要求应答表 落实政府采购政策须提供的资料及供应商认为有必要提供的其它资料.pdf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根据各供应商对其所投产品配置合理，品牌、规格型号与技术参数描述清晰明确程度，磋商小组根据响应情况进行赋分。 所投产品选型合理、配置完整，产品性能、功能，技术参数清楚、明确，并提供相关证明材料（包含但不限于检测报告、产品彩页、官网截图、厂家授权等）。产品技术参数完全满足磋商文件要求且证明资料齐全，得10-15分； 产品技术参数基本满足磋商文件要求，证明资料较少，得5-10分； 产品技术参数不完整，大部分不符合磋商文件要求，且证明资料极少，得0-5分； 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针对本项目建设内容的周边自然条件、地理位置、对本项目的功能与作用等方面的认识，磋商小组根据响应情况进行赋分。 项目理解准确、内容完整、方案详细、流程规范具体，各工作节点措施具体，针对性充足且完全符合项目需求的，得3-5分； 项目理解有误、有基本的工作内容、方案、流程规范、各工作节点措施，但内容含糊或有实质性缺陷，无针对性且无法满足项目需求的，得0-3分； 未提供本项不得分。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针对本项目施工内容具体特点，编制详细、可行的施工作业方案，磋商小组根据响应情况进行赋分。 施工方案思路清晰、合理、可行，对项目实施具有较强的指导作用的，得6-10分； 思路基本清晰、具有一定的合理性和可行性，对项目实施可起到一定指导作用的，得3-6分； 施工方案不完整、不合理，可行性较差得0-3分；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对本项目的重点把握突出、难点分析到位、提出针对性解决方案，解决方案合理，得5-8分； 分析不全面、解决方案粗略但具有一定合理性，计3-5分； 无重点、难点分析或解决方案不合理，无法保证项目正常进行，得0-3分； 未提供本项不得分。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为更好的服务于本项目及采购人，供应商对项目做出详尽、全面、有效、合理的质量保障措施，包括但不限于建立完整的工作台帐、工作信息收集、反馈等客户质量保证措施等。 质量管理体系健全完善、质量目标明确，保证措施内容详细全面，条理清晰，针对性充足且完全满足项目实施，得1-3分； 质量管理体系不完善，质量目标含糊，保证措施内容含糊或有实质性缺陷，针对性不足，得0-1分； 未提供本项不得分。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针对本项目特点提出安全生产保证措施，磋商小组根据响应情况进行赋分。 安全生产的技术组织措施科学、合理、可行性强，得1-3分； 不合理，可行性一般得0-1分； 未提供本项不得分。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针对本项目特点提出环境保护措施，磋商小组根据响应情况进行赋分。 环境保护措施科学、合理、可行性强，得1-3分； 不合理，可行性一般得0-1分； 未提供本项不得分。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拟投入主要施工机具设备</w:t>
            </w:r>
          </w:p>
        </w:tc>
        <w:tc>
          <w:tcPr>
            <w:tcW w:type="dxa" w:w="2492"/>
          </w:tcPr>
          <w:p>
            <w:pPr>
              <w:pStyle w:val="null3"/>
            </w:pPr>
            <w:r>
              <w:rPr>
                <w:rFonts w:ascii="仿宋_GB2312" w:hAnsi="仿宋_GB2312" w:cs="仿宋_GB2312" w:eastAsia="仿宋_GB2312"/>
              </w:rPr>
              <w:t>供应商需根据采购内容及技术要求配备必要的施工机具设备，提供配置清单（包括但不限于设备品名、品牌、型号、数量、用途等），磋商小组根据响应情况进行赋分。 机械设备投入合理，可行性强，满足项目需求的，得1-3分； 机械设备投入不合理、可行性一般，基本满足项目需求的，得0-1分； 未提供本项不得分。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人员（除项目负责人外）配备机电工程专业或建筑工程专业二级及以上注册建造师，并具备有效的建安B证，提供1个得1分，其余不得分（提供人员身份证、注册证、安考证及供应商近半年为其缴纳的单位社保证明，未提供或提供不全不得分）； 2、拟投入人员中配备建安A、C类人员：每提供1个得1分，满分4分（提供人员身份证、安考证及供应商近半年为其缴纳的单位社保证明，未提供或提供不全不得分）。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根据供应商所提供售后服务方案中的售后服务响应时间、人员配置、服务机构、维修技术方案、升级更新方案、保修期后的服务承诺及优惠条件等方面， 磋商小组根据响应情况进行赋分。 售后服务方案全面完整、合理性强、可行性高且承诺详细、具体，为本项目拟派售后服务人员的，得3-5分； 有售后服务方案且承诺，且为本项目拟派售后服务人员的，得1-3分； 未提供本项不得分。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提供供应商2022年1月1日至今类似项目业绩，每项有效业绩得2分，满分10分。 注：业绩认定证明材料需提供项目中标通知书、合同及合格的竣工验收证明资料，日期以合同签订日期为准，未提供或提供不全不得分。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磋商报价得分=（磋商基准价/最终磋商报价）×30的公式计算得分。 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详见附件：分项报价表.xlsx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详见附件：陕西省政府采购投标人拒绝政府采购领域商业贿赂承诺书.pdf</w:t>
      </w:r>
    </w:p>
    <w:p>
      <w:pPr>
        <w:pStyle w:val="null3"/>
        <w:ind w:firstLine="960"/>
      </w:pPr>
      <w:r>
        <w:rPr>
          <w:rFonts w:ascii="仿宋_GB2312" w:hAnsi="仿宋_GB2312" w:cs="仿宋_GB2312" w:eastAsia="仿宋_GB2312"/>
        </w:rPr>
        <w:t>详见附件：落实政府采购政策须提供的资料及供应商认为有必要提供的其它资料.pdf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