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版本号：ZCBN-省本级-2025-0723320250626001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陕西省发热门诊系统年度运维</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ZCBN-省本级-2025-07233</w:t>
      </w:r>
      <w:r>
        <w:br/>
      </w:r>
      <w:r>
        <w:br/>
      </w:r>
      <w:r>
        <w:br/>
      </w:r>
    </w:p>
    <w:p>
      <w:pPr>
        <w:pStyle w:val="null3"/>
        <w:jc w:val="center"/>
        <w:outlineLvl w:val="2"/>
      </w:pPr>
      <w:r>
        <w:rPr>
          <w:rFonts w:ascii="仿宋_GB2312" w:hAnsi="仿宋_GB2312" w:cs="仿宋_GB2312" w:eastAsia="仿宋_GB2312"/>
          <w:sz w:val="28"/>
          <w:b/>
        </w:rPr>
        <w:t>陕西省卫生健康信息中心</w:t>
      </w:r>
    </w:p>
    <w:p>
      <w:pPr>
        <w:pStyle w:val="null3"/>
        <w:jc w:val="center"/>
        <w:outlineLvl w:val="2"/>
      </w:pPr>
      <w:r>
        <w:rPr>
          <w:rFonts w:ascii="仿宋_GB2312" w:hAnsi="仿宋_GB2312" w:cs="仿宋_GB2312" w:eastAsia="仿宋_GB2312"/>
          <w:sz w:val="28"/>
          <w:b/>
        </w:rPr>
        <w:t>知含国际工程咨询有限公司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知含国际工程咨询有限公司</w:t>
      </w:r>
      <w:r>
        <w:rPr>
          <w:rFonts w:ascii="仿宋_GB2312" w:hAnsi="仿宋_GB2312" w:cs="仿宋_GB2312" w:eastAsia="仿宋_GB2312"/>
        </w:rPr>
        <w:t>（以下简称“代理机构”）受</w:t>
      </w:r>
      <w:r>
        <w:rPr>
          <w:rFonts w:ascii="仿宋_GB2312" w:hAnsi="仿宋_GB2312" w:cs="仿宋_GB2312" w:eastAsia="仿宋_GB2312"/>
        </w:rPr>
        <w:t>陕西省卫生健康信息中心</w:t>
      </w:r>
      <w:r>
        <w:rPr>
          <w:rFonts w:ascii="仿宋_GB2312" w:hAnsi="仿宋_GB2312" w:cs="仿宋_GB2312" w:eastAsia="仿宋_GB2312"/>
        </w:rPr>
        <w:t>委托，拟对</w:t>
      </w:r>
      <w:r>
        <w:rPr>
          <w:rFonts w:ascii="仿宋_GB2312" w:hAnsi="仿宋_GB2312" w:cs="仿宋_GB2312" w:eastAsia="仿宋_GB2312"/>
        </w:rPr>
        <w:t>陕西省发热门诊系统年度运维</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ZCBN-省本级-2025-07233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陕西省发热门诊系统年度运维</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发热门诊系统年度运维对270家陕西省发热门诊系统进行日常运维服务，包括运维全省提供发热门诊平台上报、省数据中台检验检查、处方等4个服务端口日常使用。发热平台工程师提供全年的协助校验数据服务，配合院方做好自动传输工作。发热门诊系统与全省实现系统自动对接为医院开放上报，检验、检查、处方四个服务，医院通过接口上报到平台来，减轻医疗机构人员工作压力，数据的传输形成自动化。系统自动对接避免手输错误率，间接减少市管理员的审核与退回工作，及人员调动申请。医院前置机数据通过省平台上报到国家 HQMS 平台，未报、少报、报错的风险降到零。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采购包1（陕西省发热门诊系统年度运维）：属于专门面向中小企业采购。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1、营业执照：供应商应具有独立承担民事责任的能力的企业法人、事业法人或其他组织或自然人，并出具合法有效的营业执照或事业单位法人证书等国家规定的相关证明；</w:t>
      </w:r>
    </w:p>
    <w:p>
      <w:pPr>
        <w:pStyle w:val="null3"/>
      </w:pPr>
      <w:r>
        <w:rPr>
          <w:rFonts w:ascii="仿宋_GB2312" w:hAnsi="仿宋_GB2312" w:cs="仿宋_GB2312" w:eastAsia="仿宋_GB2312"/>
        </w:rPr>
        <w:t>2、缴纳税收：提供磋商截止日前一年内已缴纳的至少一个月的纳税证明或完税证明，依法免税的单位应提供相关证明材料；</w:t>
      </w:r>
    </w:p>
    <w:p>
      <w:pPr>
        <w:pStyle w:val="null3"/>
      </w:pPr>
      <w:r>
        <w:rPr>
          <w:rFonts w:ascii="仿宋_GB2312" w:hAnsi="仿宋_GB2312" w:cs="仿宋_GB2312" w:eastAsia="仿宋_GB2312"/>
        </w:rPr>
        <w:t>3、社会保障资金缴纳证明：提供磋商截止日前一年内已缴存的至少一个月的社会保障资金缴存单据或社保机构开具的社会保险参保缴费情况证明，依法不需要缴纳社会保障资金的单位应提供相关证明材料；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财务状况报告：提供具有财务审计资质单位出具的2023年度或2024年度财务报告或磋商前六个月内其基本账户银行出具的资信证明或财政部门认可的政府采购专业担保机构出具的担保函，以上形式的证明资料提供任何一种即可；</w:t>
      </w:r>
    </w:p>
    <w:p>
      <w:pPr>
        <w:pStyle w:val="null3"/>
      </w:pPr>
      <w:r>
        <w:rPr>
          <w:rFonts w:ascii="仿宋_GB2312" w:hAnsi="仿宋_GB2312" w:cs="仿宋_GB2312" w:eastAsia="仿宋_GB2312"/>
        </w:rPr>
        <w:t>5、信用记录：供应商不得列入“信用中国”（www.creditchina.gov.cn）或“中国执行信息公开网”（http://zxgk.court.gov.cn/shixin/）失信被执行人，不得列入“信用中国”（www.creditchina.gov.cn）重大税收违法失信主体，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6、法定代表人授权委托书：法定代表人直接参加磋商的，须提供法人身份证明及身份证复印件并加盖公章；法定代表人授权代表参加磋商的，须提供法定代表人授权书及授权代表身份证身份证复印件并加盖公章；</w:t>
      </w:r>
    </w:p>
    <w:p>
      <w:pPr>
        <w:pStyle w:val="null3"/>
      </w:pPr>
      <w:r>
        <w:rPr>
          <w:rFonts w:ascii="仿宋_GB2312" w:hAnsi="仿宋_GB2312" w:cs="仿宋_GB2312" w:eastAsia="仿宋_GB2312"/>
        </w:rPr>
        <w:t>7、书面声明：参加本次采购前3年内，在经营活动中没有重大违法记录的书面声明；</w:t>
      </w:r>
    </w:p>
    <w:p>
      <w:pPr>
        <w:pStyle w:val="null3"/>
      </w:pPr>
      <w:r>
        <w:rPr>
          <w:rFonts w:ascii="仿宋_GB2312" w:hAnsi="仿宋_GB2312" w:cs="仿宋_GB2312" w:eastAsia="仿宋_GB2312"/>
        </w:rPr>
        <w:t>8、供应商履行合同所必需的设备和专业技术能力：供应商须具有履行合同所必需的设备和专业技术能力，须附相关证明材料或书面声明；</w:t>
      </w:r>
    </w:p>
    <w:p>
      <w:pPr>
        <w:pStyle w:val="null3"/>
      </w:pPr>
      <w:r>
        <w:rPr>
          <w:rFonts w:ascii="仿宋_GB2312" w:hAnsi="仿宋_GB2312" w:cs="仿宋_GB2312" w:eastAsia="仿宋_GB2312"/>
        </w:rPr>
        <w:t>9、非联合体承诺书：本项目不接受联合体，单位负责人为同一人或者存在控股、管理关系的不同单位不得同时参加。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陕西省卫生健康信息中心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西安市莲湖区莲湖路112号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苏丽娟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029-87315993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知含国际工程咨询有限公司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陕西省西安市雁塔区电子二路60号城发集团二楼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龙瑾阳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029-81128319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参照国家计委关于印发《代理服务收费管理暂行办法》的通知（计价格〔2002〕1980号）、《国家发展和改革委员会办公厅关于代理服务收费有关问题的通知》（发改办价格〔2003〕857号）规定标准收取。2、在领取成交通知书前，由成交单位向采购代理机构缴纳招标代理服务费，一次性付清。3、代理服务费缴纳账户信息：账户名称：知含国际工程咨询有限公司 开户行名称：中国建设银行股份有限公司咸阳世纪大道支行 开户账号：61001635008052503621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陕西省卫生健康信息中心</w:t>
      </w:r>
      <w:r>
        <w:rPr>
          <w:rFonts w:ascii="仿宋_GB2312" w:hAnsi="仿宋_GB2312" w:cs="仿宋_GB2312" w:eastAsia="仿宋_GB2312"/>
        </w:rPr>
        <w:t>和</w:t>
      </w:r>
      <w:r>
        <w:rPr>
          <w:rFonts w:ascii="仿宋_GB2312" w:hAnsi="仿宋_GB2312" w:cs="仿宋_GB2312" w:eastAsia="仿宋_GB2312"/>
        </w:rPr>
        <w:t>知含国际工程咨询有限公司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陕西省卫生健康信息中心</w:t>
      </w:r>
      <w:r>
        <w:rPr>
          <w:rFonts w:ascii="仿宋_GB2312" w:hAnsi="仿宋_GB2312" w:cs="仿宋_GB2312" w:eastAsia="仿宋_GB2312"/>
        </w:rPr>
        <w:t>负责解释。除上述磋商文件内容，其他内容由</w:t>
      </w:r>
      <w:r>
        <w:rPr>
          <w:rFonts w:ascii="仿宋_GB2312" w:hAnsi="仿宋_GB2312" w:cs="仿宋_GB2312" w:eastAsia="仿宋_GB2312"/>
        </w:rPr>
        <w:t>知含国际工程咨询有限公司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陕西省卫生健康信息中心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知含国际工程咨询有限公司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满足采购人验收标准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知含国际工程咨询有限公司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知含国际工程咨询有限公司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知含国际工程咨询有限公司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联系人：龙瑾阳</w:t>
      </w:r>
    </w:p>
    <w:p>
      <w:pPr>
        <w:pStyle w:val="null3"/>
      </w:pPr>
      <w:r>
        <w:rPr>
          <w:rFonts w:ascii="仿宋_GB2312" w:hAnsi="仿宋_GB2312" w:cs="仿宋_GB2312" w:eastAsia="仿宋_GB2312"/>
        </w:rPr>
        <w:t>联系电话：17342960710</w:t>
      </w:r>
    </w:p>
    <w:p>
      <w:pPr>
        <w:pStyle w:val="null3"/>
      </w:pPr>
      <w:r>
        <w:rPr>
          <w:rFonts w:ascii="仿宋_GB2312" w:hAnsi="仿宋_GB2312" w:cs="仿宋_GB2312" w:eastAsia="仿宋_GB2312"/>
        </w:rPr>
        <w:t>地址：陕西省西安市雁塔区电子二路60号城发集团二楼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发热门诊系统年度运维对270家陕西省发热门诊系统进行日常运维服务，包括运维全省提供发热门诊平台上报、省数据中台检验检查、处方等4个服务端口日常使用。发热平台工程师提供全年的协助校验数据服务，配合院方做好自动传输工作。发热门诊系统与全省实现系统自动对接为医院开放上报，检验、检查、处方四个服务，医院通过接口上报到平台来，减轻医疗机构人员工作压力，数据的传输形成自动化。系统自动对接避免手输错误率，间接减少市管理员的审核与退回工作，及人员调动申请。医院前置机数据通过省平台上报到国家 HQMS 平台，未报、少报、报错的风险降到零。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发热门诊</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标的名称：发热门诊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0"/>
              <w:jc w:val="both"/>
            </w:pPr>
            <w:r>
              <w:rPr>
                <w:rFonts w:ascii="仿宋_GB2312" w:hAnsi="仿宋_GB2312" w:cs="仿宋_GB2312" w:eastAsia="仿宋_GB2312"/>
              </w:rPr>
              <w:t>202</w:t>
            </w:r>
            <w:r>
              <w:rPr>
                <w:rFonts w:ascii="仿宋_GB2312" w:hAnsi="仿宋_GB2312" w:cs="仿宋_GB2312" w:eastAsia="仿宋_GB2312"/>
              </w:rPr>
              <w:t>5</w:t>
            </w:r>
            <w:r>
              <w:rPr>
                <w:rFonts w:ascii="仿宋_GB2312" w:hAnsi="仿宋_GB2312" w:cs="仿宋_GB2312" w:eastAsia="仿宋_GB2312"/>
              </w:rPr>
              <w:t>年运维内容如下：</w:t>
            </w:r>
          </w:p>
          <w:p>
            <w:pPr>
              <w:pStyle w:val="null3"/>
              <w:ind w:firstLine="400"/>
              <w:jc w:val="both"/>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日常监控与预警，自动化监测系统稳定运行，实时追踪系统健康状况。一旦监测到系统运行出现任何异常状况，系统将立即触发预警机制，确保第一时间通知工程师及时处置异常故障，将系统异常带来的影响降到最低。</w:t>
            </w:r>
          </w:p>
          <w:p>
            <w:pPr>
              <w:pStyle w:val="null3"/>
              <w:ind w:firstLine="400"/>
              <w:jc w:val="both"/>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故障处理与恢复，全省范围内，针对发热数据严格遵循国家数据安全策略，实施全面数据加密措施，保障数据的安全性与隐私性。同时，建立完善的数据备份与恢复机制，确保在紧急情况下能够迅速恢复数据，维护数据的完整性和可用性。</w:t>
            </w:r>
          </w:p>
          <w:p>
            <w:pPr>
              <w:pStyle w:val="null3"/>
              <w:ind w:firstLine="400"/>
              <w:jc w:val="both"/>
            </w:pP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定期维护与优化，制定维护计划并严格进行操作，不仅致力于评估系统性能并实施优化策略以提升运行效率，还定期进行安全加固工作，以强化系统的防御能力，确保数据与系统安全无虞。</w:t>
            </w:r>
          </w:p>
          <w:p>
            <w:pPr>
              <w:pStyle w:val="null3"/>
              <w:ind w:firstLine="400"/>
              <w:jc w:val="both"/>
            </w:pPr>
            <w:r>
              <w:rPr>
                <w:rFonts w:ascii="仿宋_GB2312" w:hAnsi="仿宋_GB2312" w:cs="仿宋_GB2312" w:eastAsia="仿宋_GB2312"/>
              </w:rPr>
              <w:t>5</w:t>
            </w:r>
            <w:r>
              <w:rPr>
                <w:rFonts w:ascii="仿宋_GB2312" w:hAnsi="仿宋_GB2312" w:cs="仿宋_GB2312" w:eastAsia="仿宋_GB2312"/>
              </w:rPr>
              <w:t>、</w:t>
            </w:r>
            <w:r>
              <w:rPr>
                <w:rFonts w:ascii="仿宋_GB2312" w:hAnsi="仿宋_GB2312" w:cs="仿宋_GB2312" w:eastAsia="仿宋_GB2312"/>
              </w:rPr>
              <w:t>应急处理措施，严格按照预先制定的应急处理预案，迅速且有效地响应系统宕机、网络中断、数据库故障及安全攻击等突发事件。通过专业团队的高效协作与技术支持，能够在最短时间内恢复系统正常运行，保障数据的安全性与业务的连续性。</w:t>
            </w:r>
          </w:p>
          <w:p>
            <w:pPr>
              <w:pStyle w:val="null3"/>
              <w:ind w:firstLine="400"/>
              <w:jc w:val="both"/>
            </w:pPr>
            <w:r>
              <w:rPr>
                <w:rFonts w:ascii="仿宋_GB2312" w:hAnsi="仿宋_GB2312" w:cs="仿宋_GB2312" w:eastAsia="仿宋_GB2312"/>
              </w:rPr>
              <w:t>6</w:t>
            </w:r>
            <w:r>
              <w:rPr>
                <w:rFonts w:ascii="仿宋_GB2312" w:hAnsi="仿宋_GB2312" w:cs="仿宋_GB2312" w:eastAsia="仿宋_GB2312"/>
              </w:rPr>
              <w:t>、</w:t>
            </w:r>
            <w:r>
              <w:rPr>
                <w:rFonts w:ascii="仿宋_GB2312" w:hAnsi="仿宋_GB2312" w:cs="仿宋_GB2312" w:eastAsia="仿宋_GB2312"/>
              </w:rPr>
              <w:t>人员分工与职责，构建由用户方工作组、领导小组以及维护小组共同组成的协作体系。领导小组作为核心，负责在维护期间协调各方资源，并对重大事件做出迅速而明智的决策。维护小组则作为执行层，专注于接收问题报告（问题票），通过专业的诊断、深入的分析与高效的解决方案，确保每一个问题都能得到妥善处理，从而全面保障维护工作的质量与效率。</w:t>
            </w:r>
          </w:p>
          <w:p>
            <w:pPr>
              <w:pStyle w:val="null3"/>
              <w:ind w:firstLine="400"/>
              <w:jc w:val="both"/>
            </w:pPr>
            <w:r>
              <w:rPr>
                <w:rFonts w:ascii="仿宋_GB2312" w:hAnsi="仿宋_GB2312" w:cs="仿宋_GB2312" w:eastAsia="仿宋_GB2312"/>
              </w:rPr>
              <w:t>7</w:t>
            </w:r>
            <w:r>
              <w:rPr>
                <w:rFonts w:ascii="仿宋_GB2312" w:hAnsi="仿宋_GB2312" w:cs="仿宋_GB2312" w:eastAsia="仿宋_GB2312"/>
              </w:rPr>
              <w:t>、</w:t>
            </w:r>
            <w:r>
              <w:rPr>
                <w:rFonts w:ascii="仿宋_GB2312" w:hAnsi="仿宋_GB2312" w:cs="仿宋_GB2312" w:eastAsia="仿宋_GB2312"/>
              </w:rPr>
              <w:t>日常运维工作，为各级医疗机构提供</w:t>
            </w:r>
            <w:r>
              <w:rPr>
                <w:rFonts w:ascii="仿宋_GB2312" w:hAnsi="仿宋_GB2312" w:cs="仿宋_GB2312" w:eastAsia="仿宋_GB2312"/>
              </w:rPr>
              <w:t>7*8</w:t>
            </w:r>
            <w:r>
              <w:rPr>
                <w:rFonts w:ascii="仿宋_GB2312" w:hAnsi="仿宋_GB2312" w:cs="仿宋_GB2312" w:eastAsia="仿宋_GB2312"/>
              </w:rPr>
              <w:t>小时的全面、专业的支持与服务，将精准的发热数据及时上报至国家</w:t>
            </w:r>
            <w:r>
              <w:rPr>
                <w:rFonts w:ascii="仿宋_GB2312" w:hAnsi="仿宋_GB2312" w:cs="仿宋_GB2312" w:eastAsia="仿宋_GB2312"/>
              </w:rPr>
              <w:t>HQMS</w:t>
            </w:r>
            <w:r>
              <w:rPr>
                <w:rFonts w:ascii="仿宋_GB2312" w:hAnsi="仿宋_GB2312" w:cs="仿宋_GB2312" w:eastAsia="仿宋_GB2312"/>
              </w:rPr>
              <w:t>流感监测平台。严格把控医疗机构的数据权限和换人申请，确保医疗数据的安全。专注处理业务单位在分析过程中遇到的医疗机构上报数据不规范问题，包括但不限于数据格式的标准化处理以及值域范围的合理校验。配合国家</w:t>
            </w:r>
            <w:r>
              <w:rPr>
                <w:rFonts w:ascii="仿宋_GB2312" w:hAnsi="仿宋_GB2312" w:cs="仿宋_GB2312" w:eastAsia="仿宋_GB2312"/>
              </w:rPr>
              <w:t>HQMS</w:t>
            </w:r>
            <w:r>
              <w:rPr>
                <w:rFonts w:ascii="仿宋_GB2312" w:hAnsi="仿宋_GB2312" w:cs="仿宋_GB2312" w:eastAsia="仿宋_GB2312"/>
              </w:rPr>
              <w:t>平台的统计指标要求，积极参与数据排名与评估，不断提升并优化中台的数据质量。</w:t>
            </w:r>
          </w:p>
          <w:p>
            <w:pPr>
              <w:pStyle w:val="null3"/>
              <w:jc w:val="both"/>
            </w:pPr>
            <w:r>
              <w:rPr>
                <w:rFonts w:ascii="仿宋_GB2312" w:hAnsi="仿宋_GB2312" w:cs="仿宋_GB2312" w:eastAsia="仿宋_GB2312"/>
              </w:rPr>
              <w:t xml:space="preserve">   通过以上工作，顺利完成运维工作任务，满足省发热门诊平台安全运行的各项要求，避免发生三级以上安全事件和大面积瘫痪类事件，确保运维服务工作圆满完成。</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自合同签订之日起365日历天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符合国家及行业有关规定，根据采购文件要求及合同约定执行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合同签订后，运维期满3个月后支付合同总金额的90%</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运维期满6个月后支付合同剩余金额的10%</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按照磋商文件合同要求执行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通过电子化交易系统协商，供应商需在电子化交易系统上传响应的文件。成交供应商领取中标（成交）通知书时，向采购代理机构提供一正两副纸质响应文件及电子版1份（签字盖章扫描PDF和word文档格式，U盘存储）。 2.供应商应自协商文件递交截止时间起至磋商结束，保持在线状态。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供应商应具有独立承担民事责任的能力的企业法人、事业法人或其他组织或自然人，并出具合法有效的营业执照或事业单位法人证书等国家规定的相关证明；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缴纳税收</w:t>
            </w:r>
          </w:p>
        </w:tc>
        <w:tc>
          <w:tcPr>
            <w:tcW w:type="dxa" w:w="3322"/>
          </w:tcPr>
          <w:p>
            <w:pPr>
              <w:pStyle w:val="null3"/>
            </w:pPr>
            <w:r>
              <w:rPr>
                <w:rFonts w:ascii="仿宋_GB2312" w:hAnsi="仿宋_GB2312" w:cs="仿宋_GB2312" w:eastAsia="仿宋_GB2312"/>
              </w:rPr>
              <w:t>提供磋商截止日前一年内已缴纳的至少一个月的纳税证明或完税证明，依法免税的单位应提供相关证明材料；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提供具有财务审计资质单位出具的2023年度或2024年度财务报告或磋商前六个月内其基本账户银行出具的资信证明或财政部门认可的政府采购专业担保机构出具的担保函，以上形式的证明资料提供任何一种即可；</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列入“信用中国”（www.creditchina.gov.cn）或“中国执行信息公开网”（http://zxgk.court.gov.cn/shixin/）失信被执行人，不得列入“信用中国”（www.creditchina.gov.cn）重大税收违法失信主体，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法定代表人直接参加磋商的，须提供法人身份证明及身份证复印件并加盖公章；法定代表人授权代表参加磋商的，须提供法定代表人授权书及授权代表身份证身份证复印件并加盖公章；</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参加本次采购前3年内，在经营活动中没有重大违法记录的书面声明；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供应商履行合同所必需的设备和专业技术能力</w:t>
            </w:r>
          </w:p>
        </w:tc>
        <w:tc>
          <w:tcPr>
            <w:tcW w:type="dxa" w:w="3322"/>
          </w:tcPr>
          <w:p>
            <w:pPr>
              <w:pStyle w:val="null3"/>
            </w:pPr>
            <w:r>
              <w:rPr>
                <w:rFonts w:ascii="仿宋_GB2312" w:hAnsi="仿宋_GB2312" w:cs="仿宋_GB2312" w:eastAsia="仿宋_GB2312"/>
              </w:rPr>
              <w:t>供应商须具有履行合同所必需的设备和专业技术能力，须附相关证明材料或书面声明；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非联合体承诺书</w:t>
            </w:r>
          </w:p>
        </w:tc>
        <w:tc>
          <w:tcPr>
            <w:tcW w:type="dxa" w:w="3322"/>
          </w:tcPr>
          <w:p>
            <w:pPr>
              <w:pStyle w:val="null3"/>
            </w:pPr>
            <w:r>
              <w:rPr>
                <w:rFonts w:ascii="仿宋_GB2312" w:hAnsi="仿宋_GB2312" w:cs="仿宋_GB2312" w:eastAsia="仿宋_GB2312"/>
              </w:rPr>
              <w:t>本项目不接受联合体，单位负责人为同一人或者存在控股、管理关系的不同单位不得同时参加。</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业绩一览表.docx 服务内容及服务邀请应答表 中小企业声明函 商务应答表 供应商应提交的相关资格证明材料 报价表 响应文件封面 供应商资格要求.docx 残疾人福利性单位声明函 服务方案 供应商认为有必要说明的其他问题.docx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（1）磋商报价符合唯一性要求；（2）第一次磋商报价表填写符合要求；（3）计量单位、报价货币均符合磋商文件要求；（4）未超出采购预算或磋商文件规定的最高限价。</w:t>
            </w:r>
          </w:p>
        </w:tc>
        <w:tc>
          <w:tcPr>
            <w:tcW w:type="dxa" w:w="1661"/>
          </w:tcPr>
          <w:p>
            <w:pPr>
              <w:pStyle w:val="null3"/>
            </w:pPr>
            <w:r>
              <w:rPr>
                <w:rFonts w:ascii="仿宋_GB2312" w:hAnsi="仿宋_GB2312" w:cs="仿宋_GB2312" w:eastAsia="仿宋_GB2312"/>
              </w:rPr>
              <w:t>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项目运维服务</w:t>
            </w:r>
          </w:p>
        </w:tc>
        <w:tc>
          <w:tcPr>
            <w:tcW w:type="dxa" w:w="2492"/>
          </w:tcPr>
          <w:p>
            <w:pPr>
              <w:pStyle w:val="null3"/>
            </w:pPr>
            <w:r>
              <w:rPr>
                <w:rFonts w:ascii="仿宋_GB2312" w:hAnsi="仿宋_GB2312" w:cs="仿宋_GB2312" w:eastAsia="仿宋_GB2312"/>
              </w:rPr>
              <w:t>根据供应商提供的服务方案（包括但不限于针对本项目提供的运维服务方案和工作流程等方面）进行评审： 1.服务方案内容全面完善、切实可行、有针对性，完全满足项目采购要求，得25分； 2.服务方案内容比较全面完善、切实可行，比较有针对性，基本满足项目采购要求，得15分； 3.服务方案内容不够全面完善、可行性差，针对性较差，部分满足项目采购要求，得5分； 4.未提供或其他情况不得分。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根据供应商提供的应急预案及突发事件应急保障措施进行评审： 1.应急预案内容分析全面、具体、合理，应对突发事件的保障措施详细、可行、有针对性，得15分； 2.应急预案内容分析较为全面、具体、合理，应对突发事件的保障措施较为详细、可行，比较有针对性，得10分； 3.应急预案内容分析不够全面、具体、合理，应对突发事件的保障措施不够详细，可行性、针对性较差，得5分； 4.未提供或其他情况不得分。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合理化建议及增值服务</w:t>
            </w:r>
          </w:p>
        </w:tc>
        <w:tc>
          <w:tcPr>
            <w:tcW w:type="dxa" w:w="2492"/>
          </w:tcPr>
          <w:p>
            <w:pPr>
              <w:pStyle w:val="null3"/>
            </w:pPr>
            <w:r>
              <w:rPr>
                <w:rFonts w:ascii="仿宋_GB2312" w:hAnsi="仿宋_GB2312" w:cs="仿宋_GB2312" w:eastAsia="仿宋_GB2312"/>
              </w:rPr>
              <w:t>根据供应商针对本项目项目执行、技术支持、人员安排等方面提供的合理化建议及增值服务进行评审：1.建议内容明确、合理、具有较强的可行性得9分； 2.建议内容基本明确、合理、具有可行性，得6分； 3.建议内容较为含糊且缺乏可行性，得3分； 4.未提供不得分。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拟派项目负责人及项目组成人</w:t>
            </w:r>
          </w:p>
        </w:tc>
        <w:tc>
          <w:tcPr>
            <w:tcW w:type="dxa" w:w="2492"/>
          </w:tcPr>
          <w:p>
            <w:pPr>
              <w:pStyle w:val="null3"/>
            </w:pPr>
            <w:r>
              <w:rPr>
                <w:rFonts w:ascii="仿宋_GB2312" w:hAnsi="仿宋_GB2312" w:cs="仿宋_GB2312" w:eastAsia="仿宋_GB2312"/>
              </w:rPr>
              <w:t>拟派项目负责人及项目组成人，结合从业年限、工作经验及业绩等因素，根据响应程度和优劣程度进行评审：1.项目负责人及项目组成人员有相关项目经验的计5分;2.项目负责人及项目组成人员缺乏资质且无相关项目经验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项目管理体系</w:t>
            </w:r>
          </w:p>
        </w:tc>
        <w:tc>
          <w:tcPr>
            <w:tcW w:type="dxa" w:w="2492"/>
          </w:tcPr>
          <w:p>
            <w:pPr>
              <w:pStyle w:val="null3"/>
            </w:pPr>
            <w:r>
              <w:rPr>
                <w:rFonts w:ascii="仿宋_GB2312" w:hAnsi="仿宋_GB2312" w:cs="仿宋_GB2312" w:eastAsia="仿宋_GB2312"/>
              </w:rPr>
              <w:t>项目组织管理机构设置及人员分工安排合理、职责划分明确，根据响应程度和优劣程度进行评审：1.项目组织管理机构及人员分工安排详细全面的计6分；2.项目组织管理方案不明确，人员分工安排不详细的计4分；3.项目组织管理方案不完整或人员分工安排混乱的计2分; 4.未提供本项内容的不计分。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根据供应商提供针对本项目的售后服务方案（包括但不限于运维服务承诺及方案、针对服务期限内服务人员到位情况的承诺）进行评审：1.售后服务方案详细，完全满足采购需求得15分； 2.售后服务方案基本完整，基本满足采购需求得10分； 3.服务承诺较简略，未展开阐述得5分；4.未提供不得分。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具有近三年（2022年6月1日）以来同类项目业绩，每提供一份合同的计3分，最高计10分。应答文件需要提供合同关键页复印件)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本磋商文件要求的最低投标报价为评标基准价，其价格分为满分，其他供应商的价格分统一按照下列公式计算：磋商报价得分=（评标基准价／最后磋商报价）×价格权值×100（精确到小数点后两位）。 超过了采购项目预算或最高限价的，为无效投标。</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详见附件：供应商认为有必要说明的其他问题.docx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