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版本号：DRZB2025-ZC-15120250623001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关于开展户外等媒体营销宣传项目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DRZB2025-ZC-151</w:t>
      </w:r>
      <w:r>
        <w:br/>
      </w:r>
      <w:r>
        <w:br/>
      </w:r>
      <w:r>
        <w:br/>
      </w:r>
    </w:p>
    <w:p>
      <w:pPr>
        <w:pStyle w:val="null3"/>
        <w:jc w:val="center"/>
        <w:outlineLvl w:val="2"/>
      </w:pPr>
      <w:r>
        <w:rPr>
          <w:rFonts w:ascii="仿宋_GB2312" w:hAnsi="仿宋_GB2312" w:cs="仿宋_GB2312" w:eastAsia="仿宋_GB2312"/>
          <w:sz w:val="28"/>
          <w:b/>
        </w:rPr>
        <w:t>陕西省福利彩票发行中心</w:t>
      </w:r>
    </w:p>
    <w:p>
      <w:pPr>
        <w:pStyle w:val="null3"/>
        <w:jc w:val="center"/>
        <w:outlineLvl w:val="2"/>
      </w:pPr>
      <w:r>
        <w:rPr>
          <w:rFonts w:ascii="仿宋_GB2312" w:hAnsi="仿宋_GB2312" w:cs="仿宋_GB2312" w:eastAsia="仿宋_GB2312"/>
          <w:sz w:val="28"/>
          <w:b/>
        </w:rPr>
        <w:t>陕西德仁招标有限公司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陕西德仁招标有限公司</w:t>
      </w:r>
      <w:r>
        <w:rPr>
          <w:rFonts w:ascii="仿宋_GB2312" w:hAnsi="仿宋_GB2312" w:cs="仿宋_GB2312" w:eastAsia="仿宋_GB2312"/>
        </w:rPr>
        <w:t>（以下简称“代理机构”）受</w:t>
      </w:r>
      <w:r>
        <w:rPr>
          <w:rFonts w:ascii="仿宋_GB2312" w:hAnsi="仿宋_GB2312" w:cs="仿宋_GB2312" w:eastAsia="仿宋_GB2312"/>
        </w:rPr>
        <w:t>陕西省福利彩票发行中心</w:t>
      </w:r>
      <w:r>
        <w:rPr>
          <w:rFonts w:ascii="仿宋_GB2312" w:hAnsi="仿宋_GB2312" w:cs="仿宋_GB2312" w:eastAsia="仿宋_GB2312"/>
        </w:rPr>
        <w:t>委托，拟对</w:t>
      </w:r>
      <w:r>
        <w:rPr>
          <w:rFonts w:ascii="仿宋_GB2312" w:hAnsi="仿宋_GB2312" w:cs="仿宋_GB2312" w:eastAsia="仿宋_GB2312"/>
        </w:rPr>
        <w:t>关于开展户外等媒体营销宣传项目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DRZB2025-ZC-151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关于开展户外等媒体营销宣传项目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关于开展户外等媒体营销宣传项目，具体内容详见磋商文件及采购需求。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采购包1（关于开展户外等媒体营销宣传项目）：属于专门面向中小企业采购。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2024年度经审计的财务报告（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递交响应文件截止之日前六个月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6、无重大违法记录声明：参加本次政府采购活动前3年内在经营活动中没有重大违纪，以及未被列入失信被执行人、重大税收违法失信主体、政府采购严重违法失信行为记录名单的书面声明。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委托书：法定代表人直接参加磋商的，须出具法定代表人身份证明书及身份证；授权代表参加磋商的，须出具法定代表人授权书及授权代表身份证。（被授权人需提供文件递交截止时间前六个月内任意一个月的社会保障资金的缴纳证明）</w:t>
      </w:r>
    </w:p>
    <w:p>
      <w:pPr>
        <w:pStyle w:val="null3"/>
      </w:pPr>
      <w:r>
        <w:rPr>
          <w:rFonts w:ascii="仿宋_GB2312" w:hAnsi="仿宋_GB2312" w:cs="仿宋_GB2312" w:eastAsia="仿宋_GB2312"/>
        </w:rPr>
        <w:t>8、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关联关系：供应商关联关系声明，包括：①控股管理关系（不得与参加本项目的其他供应商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10、中小企业声明函：本项目专门面向中小企业采购，提供中小企业声明函。</w:t>
      </w:r>
    </w:p>
    <w:p>
      <w:pPr>
        <w:pStyle w:val="null3"/>
      </w:pPr>
      <w:r>
        <w:rPr>
          <w:rFonts w:ascii="仿宋_GB2312" w:hAnsi="仿宋_GB2312" w:cs="仿宋_GB2312" w:eastAsia="仿宋_GB2312"/>
        </w:rPr>
        <w:t>11、非联合体声明：提供非联合体不分包声明。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陕西省福利彩票发行中心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西安市未央路副102号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68742256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陕西德仁招标有限公司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西安市唐延路37号class公馆B栋1103室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韩钊、赵璐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029-85565073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采购包1保证金金额：19,151.00元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开户名称：陕西德仁招标有限公司</w:t>
            </w:r>
          </w:p>
          <w:p>
            <w:pPr>
              <w:pStyle w:val="null3"/>
            </w:pPr>
            <w:r>
              <w:rPr>
                <w:rFonts w:ascii="仿宋_GB2312" w:hAnsi="仿宋_GB2312" w:cs="仿宋_GB2312" w:eastAsia="仿宋_GB2312"/>
              </w:rPr>
              <w:t>开户银行：中国建设银行股份有限公司西安吉祥路支行</w:t>
            </w:r>
          </w:p>
          <w:p>
            <w:pPr>
              <w:pStyle w:val="null3"/>
            </w:pPr>
            <w:r>
              <w:rPr>
                <w:rFonts w:ascii="仿宋_GB2312" w:hAnsi="仿宋_GB2312" w:cs="仿宋_GB2312" w:eastAsia="仿宋_GB2312"/>
              </w:rPr>
              <w:t>银行账号：6105 0172 6500 0000 0081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颁发的《招标代理服务收费管理暂行办法》(计价格[2002]1980号)和《国家发展和改革委员会办公厅关于招标代理服务收费有关问题的通知》（发改办价格〔2003〕857号）规定，向中标人/成交供应商收取代理服务费。中标人/成交供应商在领取《成交通知书》之前，向采购代理机构一次付清代理服务费。银行户名：陕西德仁招标有限公司 开户银行：招商银行股份有限公司西安城南支行 账 号：1299 0904 6810 901 联系人：苏会计 联系电话：029-89185132 邮箱：sxdrzb@qq.com</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陕西省福利彩票发行中心</w:t>
      </w:r>
      <w:r>
        <w:rPr>
          <w:rFonts w:ascii="仿宋_GB2312" w:hAnsi="仿宋_GB2312" w:cs="仿宋_GB2312" w:eastAsia="仿宋_GB2312"/>
        </w:rPr>
        <w:t>和</w:t>
      </w:r>
      <w:r>
        <w:rPr>
          <w:rFonts w:ascii="仿宋_GB2312" w:hAnsi="仿宋_GB2312" w:cs="仿宋_GB2312" w:eastAsia="仿宋_GB2312"/>
        </w:rPr>
        <w:t>陕西德仁招标有限公司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陕西省福利彩票发行中心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陕西德仁招标有限公司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陕西省福利彩票发行中心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陕西德仁招标有限公司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以合同签订为准。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联系人：韩钊、赵璐</w:t>
      </w:r>
    </w:p>
    <w:p>
      <w:pPr>
        <w:pStyle w:val="null3"/>
      </w:pPr>
      <w:r>
        <w:rPr>
          <w:rFonts w:ascii="仿宋_GB2312" w:hAnsi="仿宋_GB2312" w:cs="仿宋_GB2312" w:eastAsia="仿宋_GB2312"/>
        </w:rPr>
        <w:t>联系电话：029-85565073</w:t>
      </w:r>
    </w:p>
    <w:p>
      <w:pPr>
        <w:pStyle w:val="null3"/>
      </w:pPr>
      <w:r>
        <w:rPr>
          <w:rFonts w:ascii="仿宋_GB2312" w:hAnsi="仿宋_GB2312" w:cs="仿宋_GB2312" w:eastAsia="仿宋_GB2312"/>
        </w:rPr>
        <w:t>地址：西安市唐延路37号class公馆B栋1103室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关于开展户外等媒体营销宣传项目，具体内容详见磋商文件及采购需求。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开展户外等媒体营销宣传</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标的名称：开展户外等媒体营销宣传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一、项目概况</w:t>
            </w:r>
          </w:p>
          <w:p>
            <w:pPr>
              <w:pStyle w:val="null3"/>
            </w:pPr>
            <w:r>
              <w:rPr>
                <w:rFonts w:ascii="仿宋_GB2312" w:hAnsi="仿宋_GB2312" w:cs="仿宋_GB2312" w:eastAsia="仿宋_GB2312"/>
              </w:rPr>
              <w:t>为持续提升陕西福彩品牌影响力，传播公益理念，激发各票种游戏市场活力，加强重点市场工作力度，促进销量稳步增长，拟开展2025年度户外等媒体营销宣传项目。</w:t>
            </w:r>
          </w:p>
          <w:p>
            <w:pPr>
              <w:pStyle w:val="null3"/>
            </w:pPr>
            <w:r>
              <w:rPr>
                <w:rFonts w:ascii="仿宋_GB2312" w:hAnsi="仿宋_GB2312" w:cs="仿宋_GB2312" w:eastAsia="仿宋_GB2312"/>
              </w:rPr>
              <w:t>二、采购内容</w:t>
            </w:r>
          </w:p>
          <w:p>
            <w:pPr>
              <w:pStyle w:val="null3"/>
            </w:pPr>
            <w:r>
              <w:rPr>
                <w:rFonts w:ascii="仿宋_GB2312" w:hAnsi="仿宋_GB2312" w:cs="仿宋_GB2312" w:eastAsia="仿宋_GB2312"/>
              </w:rPr>
              <w:t>（1）西安绕城高速及机场高速户外显示屏</w:t>
            </w:r>
          </w:p>
          <w:p>
            <w:pPr>
              <w:pStyle w:val="null3"/>
            </w:pPr>
            <w:r>
              <w:rPr>
                <w:rFonts w:ascii="仿宋_GB2312" w:hAnsi="仿宋_GB2312" w:cs="仿宋_GB2312" w:eastAsia="仿宋_GB2312"/>
              </w:rPr>
              <w:t>计划选取西安绕城高速高新收费站、曲江收费站、咸阳国际机场收费站、绕城高速丈八立交K51+250四个点位进行宣传推广。</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地点</w:t>
                  </w:r>
                </w:p>
              </w:tc>
              <w:tc>
                <w:tcPr>
                  <w:tcW w:type="dxa" w:w="638"/>
                </w:tcPr>
                <w:p>
                  <w:pPr>
                    <w:pStyle w:val="null3"/>
                  </w:pPr>
                  <w:r>
                    <w:rPr>
                      <w:rFonts w:ascii="仿宋_GB2312" w:hAnsi="仿宋_GB2312" w:cs="仿宋_GB2312" w:eastAsia="仿宋_GB2312"/>
                    </w:rPr>
                    <w:t>类型</w:t>
                  </w:r>
                </w:p>
              </w:tc>
              <w:tc>
                <w:tcPr>
                  <w:tcW w:type="dxa" w:w="638"/>
                </w:tcPr>
                <w:p>
                  <w:pPr>
                    <w:pStyle w:val="null3"/>
                  </w:pPr>
                  <w:r>
                    <w:rPr>
                      <w:rFonts w:ascii="仿宋_GB2312" w:hAnsi="仿宋_GB2312" w:cs="仿宋_GB2312" w:eastAsia="仿宋_GB2312"/>
                    </w:rPr>
                    <w:t>投放时段</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西安绕城高速高新收费站</w:t>
                  </w:r>
                </w:p>
              </w:tc>
              <w:tc>
                <w:tcPr>
                  <w:tcW w:type="dxa" w:w="638"/>
                </w:tcPr>
                <w:p>
                  <w:pPr>
                    <w:pStyle w:val="null3"/>
                  </w:pPr>
                  <w:r>
                    <w:rPr>
                      <w:rFonts w:ascii="仿宋_GB2312" w:hAnsi="仿宋_GB2312" w:cs="仿宋_GB2312" w:eastAsia="仿宋_GB2312"/>
                    </w:rPr>
                    <w:t>LED大屏</w:t>
                  </w:r>
                </w:p>
              </w:tc>
              <w:tc>
                <w:tcPr>
                  <w:tcW w:type="dxa" w:w="638"/>
                </w:tcPr>
                <w:p>
                  <w:pPr>
                    <w:pStyle w:val="null3"/>
                  </w:pPr>
                  <w:r>
                    <w:rPr>
                      <w:rFonts w:ascii="仿宋_GB2312" w:hAnsi="仿宋_GB2312" w:cs="仿宋_GB2312" w:eastAsia="仿宋_GB2312"/>
                    </w:rPr>
                    <w:t>7:00-22:00</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西安绕城高速曲江收费站</w:t>
                  </w:r>
                </w:p>
              </w:tc>
              <w:tc>
                <w:tcPr>
                  <w:tcW w:type="dxa" w:w="638"/>
                </w:tcPr>
                <w:p>
                  <w:pPr>
                    <w:pStyle w:val="null3"/>
                  </w:pPr>
                  <w:r>
                    <w:rPr>
                      <w:rFonts w:ascii="仿宋_GB2312" w:hAnsi="仿宋_GB2312" w:cs="仿宋_GB2312" w:eastAsia="仿宋_GB2312"/>
                    </w:rPr>
                    <w:t>LED大屏</w:t>
                  </w:r>
                </w:p>
              </w:tc>
              <w:tc>
                <w:tcPr>
                  <w:tcW w:type="dxa" w:w="638"/>
                </w:tcPr>
                <w:p>
                  <w:pPr>
                    <w:pStyle w:val="null3"/>
                  </w:pPr>
                  <w:r>
                    <w:rPr>
                      <w:rFonts w:ascii="仿宋_GB2312" w:hAnsi="仿宋_GB2312" w:cs="仿宋_GB2312" w:eastAsia="仿宋_GB2312"/>
                    </w:rPr>
                    <w:t>7:00-22:00</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西安咸阳国际机场专用高速机场收费站</w:t>
                  </w:r>
                </w:p>
              </w:tc>
              <w:tc>
                <w:tcPr>
                  <w:tcW w:type="dxa" w:w="638"/>
                </w:tcPr>
                <w:p>
                  <w:pPr>
                    <w:pStyle w:val="null3"/>
                  </w:pPr>
                  <w:r>
                    <w:rPr>
                      <w:rFonts w:ascii="仿宋_GB2312" w:hAnsi="仿宋_GB2312" w:cs="仿宋_GB2312" w:eastAsia="仿宋_GB2312"/>
                    </w:rPr>
                    <w:t>LED大屏</w:t>
                  </w:r>
                </w:p>
              </w:tc>
              <w:tc>
                <w:tcPr>
                  <w:tcW w:type="dxa" w:w="638"/>
                </w:tcPr>
                <w:p>
                  <w:pPr>
                    <w:pStyle w:val="null3"/>
                  </w:pPr>
                  <w:r>
                    <w:rPr>
                      <w:rFonts w:ascii="仿宋_GB2312" w:hAnsi="仿宋_GB2312" w:cs="仿宋_GB2312" w:eastAsia="仿宋_GB2312"/>
                    </w:rPr>
                    <w:t>7:00-22:00</w:t>
                  </w:r>
                </w:p>
              </w:tc>
            </w:tr>
            <w:tr>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西安绕城高速丈八立交K51+250</w:t>
                  </w:r>
                </w:p>
              </w:tc>
              <w:tc>
                <w:tcPr>
                  <w:tcW w:type="dxa" w:w="638"/>
                </w:tcPr>
                <w:p>
                  <w:pPr>
                    <w:pStyle w:val="null3"/>
                  </w:pPr>
                  <w:r>
                    <w:rPr>
                      <w:rFonts w:ascii="仿宋_GB2312" w:hAnsi="仿宋_GB2312" w:cs="仿宋_GB2312" w:eastAsia="仿宋_GB2312"/>
                    </w:rPr>
                    <w:t>跨线桥</w:t>
                  </w:r>
                </w:p>
              </w:tc>
              <w:tc>
                <w:tcPr>
                  <w:tcW w:type="dxa" w:w="638"/>
                </w:tcPr>
                <w:p>
                  <w:pPr>
                    <w:pStyle w:val="null3"/>
                  </w:pPr>
                  <w:r>
                    <w:rPr>
                      <w:rFonts w:ascii="仿宋_GB2312" w:hAnsi="仿宋_GB2312" w:cs="仿宋_GB2312" w:eastAsia="仿宋_GB2312"/>
                    </w:rPr>
                    <w:t>全天候</w:t>
                  </w:r>
                </w:p>
              </w:tc>
            </w:tr>
          </w:tbl>
          <w:p>
            <w:pPr>
              <w:pStyle w:val="null3"/>
            </w:pPr>
            <w:r>
              <w:rPr>
                <w:rFonts w:ascii="仿宋_GB2312" w:hAnsi="仿宋_GB2312" w:cs="仿宋_GB2312" w:eastAsia="仿宋_GB2312"/>
              </w:rPr>
              <w:t>（2）机场航站楼LED屏</w:t>
            </w:r>
          </w:p>
          <w:p>
            <w:pPr>
              <w:pStyle w:val="null3"/>
            </w:pPr>
            <w:r>
              <w:rPr>
                <w:rFonts w:ascii="仿宋_GB2312" w:hAnsi="仿宋_GB2312" w:cs="仿宋_GB2312" w:eastAsia="仿宋_GB2312"/>
              </w:rPr>
              <w:t>利用西安咸阳国际机场综合交通枢纽人流汇集高地优势，在T3航站楼到达层、T5航站楼到达层LED屏媒体投放广告，覆盖高中端群体，提升福彩品牌价值影响。</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地点</w:t>
                  </w:r>
                </w:p>
              </w:tc>
              <w:tc>
                <w:tcPr>
                  <w:tcW w:type="dxa" w:w="638"/>
                </w:tcPr>
                <w:p>
                  <w:pPr>
                    <w:pStyle w:val="null3"/>
                  </w:pPr>
                  <w:r>
                    <w:rPr>
                      <w:rFonts w:ascii="仿宋_GB2312" w:hAnsi="仿宋_GB2312" w:cs="仿宋_GB2312" w:eastAsia="仿宋_GB2312"/>
                    </w:rPr>
                    <w:t>类型</w:t>
                  </w:r>
                </w:p>
              </w:tc>
              <w:tc>
                <w:tcPr>
                  <w:tcW w:type="dxa" w:w="638"/>
                </w:tcPr>
                <w:p>
                  <w:pPr>
                    <w:pStyle w:val="null3"/>
                  </w:pPr>
                  <w:r>
                    <w:rPr>
                      <w:rFonts w:ascii="仿宋_GB2312" w:hAnsi="仿宋_GB2312" w:cs="仿宋_GB2312" w:eastAsia="仿宋_GB2312"/>
                    </w:rPr>
                    <w:t>投放时段</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T3航站楼到达层</w:t>
                  </w:r>
                </w:p>
              </w:tc>
              <w:tc>
                <w:tcPr>
                  <w:tcW w:type="dxa" w:w="638"/>
                </w:tcPr>
                <w:p>
                  <w:pPr>
                    <w:pStyle w:val="null3"/>
                  </w:pPr>
                  <w:r>
                    <w:rPr>
                      <w:rFonts w:ascii="仿宋_GB2312" w:hAnsi="仿宋_GB2312" w:cs="仿宋_GB2312" w:eastAsia="仿宋_GB2312"/>
                    </w:rPr>
                    <w:t>T3到达通廊至行李厅电梯正对面LED</w:t>
                  </w:r>
                </w:p>
              </w:tc>
              <w:tc>
                <w:tcPr>
                  <w:tcW w:type="dxa" w:w="638"/>
                </w:tcPr>
                <w:p>
                  <w:pPr>
                    <w:pStyle w:val="null3"/>
                  </w:pPr>
                  <w:r>
                    <w:rPr>
                      <w:rFonts w:ascii="仿宋_GB2312" w:hAnsi="仿宋_GB2312" w:cs="仿宋_GB2312" w:eastAsia="仿宋_GB2312"/>
                    </w:rPr>
                    <w:t>8:00-23:00</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T5航站楼到达层</w:t>
                  </w:r>
                </w:p>
              </w:tc>
              <w:tc>
                <w:tcPr>
                  <w:tcW w:type="dxa" w:w="638"/>
                </w:tcPr>
                <w:p>
                  <w:pPr>
                    <w:pStyle w:val="null3"/>
                  </w:pPr>
                  <w:r>
                    <w:rPr>
                      <w:rFonts w:ascii="仿宋_GB2312" w:hAnsi="仿宋_GB2312" w:cs="仿宋_GB2312" w:eastAsia="仿宋_GB2312"/>
                    </w:rPr>
                    <w:t>T5航站楼国内到达行李厅LED</w:t>
                  </w:r>
                </w:p>
              </w:tc>
              <w:tc>
                <w:tcPr>
                  <w:tcW w:type="dxa" w:w="638"/>
                </w:tcPr>
                <w:p>
                  <w:pPr>
                    <w:pStyle w:val="null3"/>
                  </w:pPr>
                  <w:r>
                    <w:rPr>
                      <w:rFonts w:ascii="仿宋_GB2312" w:hAnsi="仿宋_GB2312" w:cs="仿宋_GB2312" w:eastAsia="仿宋_GB2312"/>
                    </w:rPr>
                    <w:t>8:00-23:00</w:t>
                  </w:r>
                </w:p>
              </w:tc>
            </w:tr>
          </w:tbl>
          <w:p>
            <w:pPr>
              <w:pStyle w:val="null3"/>
            </w:pPr>
            <w:r>
              <w:rPr>
                <w:rFonts w:ascii="仿宋_GB2312" w:hAnsi="仿宋_GB2312" w:cs="仿宋_GB2312" w:eastAsia="仿宋_GB2312"/>
              </w:rPr>
              <w:t>注：每阶段投放都应在上表所列的媒体平台中选择，以上媒体采购人可根据工作需要进行调整，供应商应无条件按照采购人安排，在上述媒体中进行等价资源替换。</w:t>
            </w:r>
          </w:p>
          <w:p>
            <w:pPr>
              <w:pStyle w:val="null3"/>
            </w:pPr>
            <w:r>
              <w:rPr>
                <w:rFonts w:ascii="仿宋_GB2312" w:hAnsi="仿宋_GB2312" w:cs="仿宋_GB2312" w:eastAsia="仿宋_GB2312"/>
              </w:rPr>
              <w:t>三、服务要求</w:t>
            </w:r>
          </w:p>
          <w:p>
            <w:pPr>
              <w:pStyle w:val="null3"/>
            </w:pPr>
            <w:r>
              <w:rPr>
                <w:rFonts w:ascii="仿宋_GB2312" w:hAnsi="仿宋_GB2312" w:cs="仿宋_GB2312" w:eastAsia="仿宋_GB2312"/>
              </w:rPr>
              <w:t>1.供应商为投放设计的文案、图片、视频脚本、策划内容等宣传素材须经采购人审核通过后方可使用。</w:t>
            </w:r>
          </w:p>
          <w:p>
            <w:pPr>
              <w:pStyle w:val="null3"/>
            </w:pPr>
            <w:r>
              <w:rPr>
                <w:rFonts w:ascii="仿宋_GB2312" w:hAnsi="仿宋_GB2312" w:cs="仿宋_GB2312" w:eastAsia="仿宋_GB2312"/>
              </w:rPr>
              <w:t>2.每阶段投放对应独立的活动内容，具体投放内容由采购人指定。</w:t>
            </w:r>
          </w:p>
          <w:p>
            <w:pPr>
              <w:pStyle w:val="null3"/>
            </w:pPr>
            <w:r>
              <w:rPr>
                <w:rFonts w:ascii="仿宋_GB2312" w:hAnsi="仿宋_GB2312" w:cs="仿宋_GB2312" w:eastAsia="仿宋_GB2312"/>
              </w:rPr>
              <w:t>3.具体投放日期由采购人根据营销宣传活动的需求指定。</w:t>
            </w:r>
          </w:p>
          <w:p>
            <w:pPr>
              <w:pStyle w:val="null3"/>
            </w:pPr>
            <w:r>
              <w:rPr>
                <w:rFonts w:ascii="仿宋_GB2312" w:hAnsi="仿宋_GB2312" w:cs="仿宋_GB2312" w:eastAsia="仿宋_GB2312"/>
              </w:rPr>
              <w:t>4.每阶段投放的起始日期、投放内容及投放数量均由采购人根据实际业务需求即时调配，供应商应预先做好与各平台的沟通协调，确保能够完全按照采购人的要求完成投放。</w:t>
            </w:r>
          </w:p>
          <w:p>
            <w:pPr>
              <w:pStyle w:val="null3"/>
            </w:pPr>
            <w:r>
              <w:rPr>
                <w:rFonts w:ascii="仿宋_GB2312" w:hAnsi="仿宋_GB2312" w:cs="仿宋_GB2312" w:eastAsia="仿宋_GB2312"/>
              </w:rPr>
              <w:t>5.供应商应确保广告设计过程中使用的所有素材不涉及版权纠纷。</w:t>
            </w:r>
          </w:p>
          <w:p>
            <w:pPr>
              <w:pStyle w:val="null3"/>
            </w:pPr>
            <w:r>
              <w:rPr>
                <w:rFonts w:ascii="仿宋_GB2312" w:hAnsi="仿宋_GB2312" w:cs="仿宋_GB2312" w:eastAsia="仿宋_GB2312"/>
              </w:rPr>
              <w:t>6.投放过程中使用的所有宣传素材，其版权归采购人所有，未经采购人许可不得随意传播或用于任何商业用途。</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具有5人及以上团队，其中项目负责人1名，设计策划专职人员4人。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1.服务范围：满足采购内容。2.服务要求：满足采购技术要求。3.服务标准：符合国家及行业现行相关规定。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省福彩中心指定地点。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期结束后，成交人向采购人提交验收申请。2.采购人收到验收申请后组织验收，验收时成交人应无条件予以配合并提供验收所需的全部资料，若成交人不配合或者未按合同要求提供服务的，采购人将拒绝验收。3.验收依据：磋商文件、响应文件、合同文本、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乙方完成本项目50%以上的投放工作，提供相应真实、合法有效并符合国家法律法规的投放证明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乙方完成本合同全部投放要求后，并提供验收资料，经甲方验收合格并组织专家进行评审通过后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以合同签订为准。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定代表人身份证明书及身份证；授权代表参加磋商的，须出具法定代表人授权书及授权代表身份证。（被授权人需提供文件递交截止时间前六个月内任意一个月的社会保障资金的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供应商关联关系声明，包括：①控股管理关系（不得与参加本项目的其他供应商单位负责人为同一人或者存在直接控股、管理关系），②未为本项目提供整体设计、规范编制或者项目管理、监理、检测等服务。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本项目专门面向中小企业采购，提供中小企业声明函。</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提供非联合体不分包声明。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报价一览表.docx 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报价一览表.docx 供应商认为有必要说明的其他资料.docx 中小企业声明函 质量保证措施.docx 服务偏离表.docx 资格证明文件.docx 供应商承诺书.docx 响应文件封面 总体方案.docx 分项报价表.docx 增值服务.docx 项目进度.docx 售后服务.docx 残疾人福利性单位声明函 标的清单 保证金缴纳凭证.docx 重点、难点分析.docx 业绩情况表.docx 响应函 商务偏离表.docx 服务方案.docx 团队人员.docx 监狱企业的证明文件 区域授权.docx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报价一览表.docx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自磋商之日起不少于90个日历日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报价一览表.docx 供应商认为有必要说明的其他资料.docx 中小企业声明函 质量保证措施.docx 服务偏离表.docx 资格证明文件.docx 供应商承诺书.docx 响应文件封面 总体方案.docx 分项报价表.docx 增值服务.docx 项目进度.docx 售后服务.docx 残疾人福利性单位声明函 标的清单 保证金缴纳凭证.docx 重点、难点分析.docx 业绩情况表.docx 响应函 商务偏离表.docx 服务方案.docx 团队人员.docx 监狱企业的证明文件 区域授权.docx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保证金缴纳凭证.docx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磋商文件商务条款</w:t>
            </w:r>
          </w:p>
        </w:tc>
        <w:tc>
          <w:tcPr>
            <w:tcW w:type="dxa" w:w="3322"/>
          </w:tcPr>
          <w:p>
            <w:pPr>
              <w:pStyle w:val="null3"/>
            </w:pPr>
            <w:r>
              <w:rPr>
                <w:rFonts w:ascii="仿宋_GB2312" w:hAnsi="仿宋_GB2312" w:cs="仿宋_GB2312" w:eastAsia="仿宋_GB2312"/>
              </w:rPr>
              <w:t>响应磋商文件商务条款，无重大保留或偏差</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无不符合法律法规或磋商文件规定的响应无效条款</w:t>
            </w:r>
          </w:p>
        </w:tc>
        <w:tc>
          <w:tcPr>
            <w:tcW w:type="dxa" w:w="1661"/>
          </w:tcPr>
          <w:p>
            <w:pPr>
              <w:pStyle w:val="null3"/>
            </w:pPr>
            <w:r>
              <w:rPr>
                <w:rFonts w:ascii="仿宋_GB2312" w:hAnsi="仿宋_GB2312" w:cs="仿宋_GB2312" w:eastAsia="仿宋_GB2312"/>
              </w:rPr>
              <w:t>报价一览表.docx 供应商认为有必要说明的其他资料.docx 中小企业声明函 质量保证措施.docx 服务偏离表.docx 资格证明文件.docx 供应商承诺书.docx 响应文件封面 总体方案.docx 分项报价表.docx 增值服务.docx 项目进度.docx 售后服务.docx 残疾人福利性单位声明函 标的清单 保证金缴纳凭证.docx 重点、难点分析.docx 业绩情况表.docx 响应函 商务偏离表.docx 服务方案.docx 团队人员.docx 监狱企业的证明文件 区域授权.docx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 针对本项目提供对项目的总体方案，包括但不限于：①项目理解；②工作思路；③工作原则；④合理化建议。 二、评审标准 1、完整性：方案须全面，对评审内容中的各项要求有详细描述； 2、可实施性：切合本项目实际情况，实施步骤清晰、合理； 3、针对性：方案能够紧扣项目实际情况，内容科学合理。 三、赋分依据（满分12分） ①项目理解：每完全满足一个评审标准得1分，满分3分； ②工作思路：每完全满足一个评审标准得1分，满分3分； ③工作原则：每完全满足一个评审标准得1分，满分3分； ④合理化建议：每完全满足一个评审标准得1分，满分3分。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针对本项目提供服务方案，包含但不限于①广告策划；②广告设计；③广告制作；④投放计划。 二、评审标准 1、完整性：方案须全面，对评审内容中的各项要求有详细描述； 2、可实施性：切合本项目实际情况，实施步骤清晰、合理； 3、针对性：方案能够紧扣项目实际情况，内容科学合理。 三、赋分依据（满分12分） ①广告策划：每完全满足一个评审标准得1分，满分3分； ②广告设计：每完全满足一个评审标准得1分，满分3分； ③广告制作：每完全满足一个评审标准得1分，满分3分； ④投放计划：每完全满足一个评审标准得1分，满分3分。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区域授权</w:t>
            </w:r>
          </w:p>
        </w:tc>
        <w:tc>
          <w:tcPr>
            <w:tcW w:type="dxa" w:w="2492"/>
          </w:tcPr>
          <w:p>
            <w:pPr>
              <w:pStyle w:val="null3"/>
            </w:pPr>
            <w:r>
              <w:rPr>
                <w:rFonts w:ascii="仿宋_GB2312" w:hAnsi="仿宋_GB2312" w:cs="仿宋_GB2312" w:eastAsia="仿宋_GB2312"/>
              </w:rPr>
              <w:t>供应商须提供与采购需求相关区域的合作协议、授权书等证明材料（合作协议或授权书期限在合同签订之日至2026年7月底前），每提供一个区域授权得2分，满分12分，未提供的不计分。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区域授权.docx</w:t>
            </w:r>
          </w:p>
        </w:tc>
      </w:tr>
      <w:tr>
        <w:tc>
          <w:tcPr>
            <w:tcW w:type="dxa" w:w="831"/>
            <w:vMerge/>
          </w:tcPr>
          <w:p/>
        </w:tc>
        <w:tc>
          <w:tcPr>
            <w:tcW w:type="dxa" w:w="1661"/>
          </w:tcPr>
          <w:p>
            <w:pPr>
              <w:pStyle w:val="null3"/>
            </w:pPr>
            <w:r>
              <w:rPr>
                <w:rFonts w:ascii="仿宋_GB2312" w:hAnsi="仿宋_GB2312" w:cs="仿宋_GB2312" w:eastAsia="仿宋_GB2312"/>
              </w:rPr>
              <w:t>项目进度</w:t>
            </w:r>
          </w:p>
        </w:tc>
        <w:tc>
          <w:tcPr>
            <w:tcW w:type="dxa" w:w="2492"/>
          </w:tcPr>
          <w:p>
            <w:pPr>
              <w:pStyle w:val="null3"/>
            </w:pPr>
            <w:r>
              <w:rPr>
                <w:rFonts w:ascii="仿宋_GB2312" w:hAnsi="仿宋_GB2312" w:cs="仿宋_GB2312" w:eastAsia="仿宋_GB2312"/>
              </w:rPr>
              <w:t>一、评审内容 针对本项目提供项目进度方案，包含但不限于①项目进度安排；②组织协调措施。 二、评审标准 1、完整性：方案须全面，对评审内容中的各项要求有详细描述； 2、可实施性：切合本项目实际情况，实施步骤清晰、合理； 3、针对性：方案能够紧扣项目实际情况，内容科学合理。 三、赋分依据（满分6分） ①项目进度安排：每完全满足一个评审标准得1分，满分3分； ②组织协调措施：每完全满足一个评审标准得1分，满分3分。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项目进度.docx</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一、评审内容 针对本项目提供项目重点、难点分析方案，包含但不限于①提出本项目实施过程中容易出错或忽略的重点、难点分析；②针对所提出的重点、难点有相应的解决方案。 二、评审标准 1、完整性：方案须全面，对评审内容中的各项要求有详细描述； 2、可实施性：切合本项目实际情况，实施步骤清晰、合理； 3、针对性：方案能够紧扣项目实际情况，内容科学合理。 三、赋分依据（满分6分） ①提出本项目实施过程中容易出错或忽略的重点、难点分析：每完全满足一个评审标准得1分，满分3分； ②针对所提出的重点、难点有相应的解决方案：每完全满足一个评审标准得1分，满分3分。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重点、难点分析.docx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一、评审内容 针对本项目提供团队人员配备方案（总体服务人员不少于5人，其中项目专职负责人1人），包括但不限于：①团队组织架构；②人员构成及分工（提供人员信息及劳动合同或社保缴纳证明）；③岗位设置；④岗位责任制度。 二、评审标准 1、完整性：方案须全面，对评审内容中的各项要求有详细描述； 2、可实施性：切合本项目实际情况，实施步骤清晰、合理； 3、针对性：方案能够紧扣项目实际情况，内容科学合理。 三、赋分依据（满分6分） ①团队组织架构：每完全满足一个评审标准得0.5分，满分1.5分； ②人员构成及分工（提供人员信息及劳动合同或社保缴纳证明）：每完全满足一个评审标准得0.5分，满分1.5分； ③岗位设置：每完全满足一个评审标准得0.5分，满分1.5分； ④岗位责任制度：每完全满足一个评审标准得0.5分，满分1.5分。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团队人员.docx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针对本项目提供质量保证措施，包含但不限于①视频曝光率措施；②视频质量保证措施；③成果验收措施；④应急方案及措施；⑤补救措施。 二、评审标准 1、完整性：方案须全面，对评审内容中的各项要求有详细描述； 2、可实施性：切合本项目实际情况，实施步骤清晰、合理； 3、针对性：方案能够紧扣项目实际情况，内容科学合理。 三、赋分依据（满分15分） ①视频曝光率措施：每完全满足一个评审标准得1分，满分3分； ②视频质量保证措施：每完全满足一个评审标准得1分，满分3分； ③成果验收措施：每完全满足一个评审标准得1分，满分3分； ④应急方案及措施：每完全满足一个评审标准得1分，满分3分； ⑤补救措施：每完全满足一个评审标准得1分，满分3分。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针对本项目指定详细的售后服务方案：①售后服务体系情况；②售后服务人员安排；③售后服务内容、方式及响应处理时间。 二、评审标准 1、完整性：方案须全面，对评审内容中的各项要求有详细描述； 2、可实施性：切合本项目实际情况，实施步骤清晰、合理； 3、针对性：方案能够紧扣项目实际情况，内容科学合理。 三、赋分依据（满分9分） ①售后服务体系情况：每完全满足一个评审标准得1分，满分3分； ②售后服务人员安排：每完全满足一个评审标准得1分，满分3分； ③售后服务内容、方式及响应处理时间：每完全满足一个评审标准得1分，满分3分。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提供针对该项目具有操作性、可实施性强的额外增值服务，在现有区域投放基础上，结合采购方品牌宣传需求，通过其他方式或在其它宣传平台开展宣传服务进行赋分，提供1个得1分，满分6分。（提供增值服务承诺书并加盖公章，未提供或内容不明确不得分，不重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增值服务.docx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供应商提供2022年1月至至今类似业绩，以签订正式合同为准，供应商提供复印件并加盖公章，每提供一份计1分，共计6分；不提供或不符合要求不计分。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价格分采用低价优先法计算，即满足磋商文件要求且最后报价最低的供应商的价格为磋商基准价，其价格分为满分。其他供应商的价格分统一按照下列公式计算：磋商报价得分=10×（磋商基准价/最后磋商报价） 价格分计算：四舍五入，保留两位小数。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详见附件：总体方案.docx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详见附件：区域授权.docx</w:t>
      </w:r>
    </w:p>
    <w:p>
      <w:pPr>
        <w:pStyle w:val="null3"/>
        <w:ind w:firstLine="960"/>
      </w:pPr>
      <w:r>
        <w:rPr>
          <w:rFonts w:ascii="仿宋_GB2312" w:hAnsi="仿宋_GB2312" w:cs="仿宋_GB2312" w:eastAsia="仿宋_GB2312"/>
        </w:rPr>
        <w:t>详见附件：项目进度.docx</w:t>
      </w:r>
    </w:p>
    <w:p>
      <w:pPr>
        <w:pStyle w:val="null3"/>
        <w:ind w:firstLine="960"/>
      </w:pPr>
      <w:r>
        <w:rPr>
          <w:rFonts w:ascii="仿宋_GB2312" w:hAnsi="仿宋_GB2312" w:cs="仿宋_GB2312" w:eastAsia="仿宋_GB2312"/>
        </w:rPr>
        <w:t>详见附件：重点、难点分析.docx</w:t>
      </w:r>
    </w:p>
    <w:p>
      <w:pPr>
        <w:pStyle w:val="null3"/>
        <w:ind w:firstLine="960"/>
      </w:pPr>
      <w:r>
        <w:rPr>
          <w:rFonts w:ascii="仿宋_GB2312" w:hAnsi="仿宋_GB2312" w:cs="仿宋_GB2312" w:eastAsia="仿宋_GB2312"/>
        </w:rPr>
        <w:t>详见附件：团队人员.docx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详见附件：增值服务.docx</w:t>
      </w:r>
    </w:p>
    <w:p>
      <w:pPr>
        <w:pStyle w:val="null3"/>
        <w:ind w:firstLine="960"/>
      </w:pPr>
      <w:r>
        <w:rPr>
          <w:rFonts w:ascii="仿宋_GB2312" w:hAnsi="仿宋_GB2312" w:cs="仿宋_GB2312" w:eastAsia="仿宋_GB2312"/>
        </w:rPr>
        <w:t>详见附件：业绩情况表.docx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详见附件：保证金缴纳凭证.docx</w:t>
      </w:r>
    </w:p>
    <w:p>
      <w:pPr>
        <w:pStyle w:val="null3"/>
        <w:ind w:firstLine="960"/>
      </w:pPr>
      <w:r>
        <w:rPr>
          <w:rFonts w:ascii="仿宋_GB2312" w:hAnsi="仿宋_GB2312" w:cs="仿宋_GB2312" w:eastAsia="仿宋_GB2312"/>
        </w:rPr>
        <w:t>详见附件：供应商认为有必要说明的其他资料.docx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