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版本号：SXWZ2025ZB-YDDX-112A20250623001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数字教材建设项目(二次)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SXWZ2025ZB-YDDX-112A</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数字教材建设项目(二次)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SXWZ2025ZB-YDDX-112A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数字教材建设项目(二次)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本项目共1个包，数字教材出版服务（具体详见磋商文件）；项目用途：自用；采购预算：700000元。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3、税收缴纳证明：2025年01月至今已缴纳的至少一个月纳税证明或完税证明，依法免税的单位应提供相关证明材料（以税款所属期为准）；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4、财务状况证明：提供经会计师事务所审计的2023年或2024年任意一年的财务审计报告（带二维码可查验）或在开标日期前六个月内其基本开户银行出具的资信证明；</w:t>
      </w:r>
    </w:p>
    <w:p>
      <w:pPr>
        <w:pStyle w:val="null3"/>
      </w:pPr>
      <w:r>
        <w:rPr>
          <w:rFonts w:ascii="仿宋_GB2312" w:hAnsi="仿宋_GB2312" w:cs="仿宋_GB2312" w:eastAsia="仿宋_GB2312"/>
        </w:rPr>
        <w:t>5、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6、企业资质：供应商提供有效的《中华人民共和国互联网出版许可证》或《网络出版服务许可证》；</w:t>
      </w:r>
    </w:p>
    <w:p>
      <w:pPr>
        <w:pStyle w:val="null3"/>
      </w:pPr>
      <w:r>
        <w:rPr>
          <w:rFonts w:ascii="仿宋_GB2312" w:hAnsi="仿宋_GB2312" w:cs="仿宋_GB2312" w:eastAsia="仿宋_GB2312"/>
        </w:rPr>
        <w:t>7、授权书：非法定代表人参加磋商的，须提供法定代表人授权委托书及被授权人身份证；法定代表人参加磋商时,须提供法定代表人身份证；</w:t>
      </w:r>
    </w:p>
    <w:p>
      <w:pPr>
        <w:pStyle w:val="null3"/>
      </w:pPr>
      <w:r>
        <w:rPr>
          <w:rFonts w:ascii="仿宋_GB2312" w:hAnsi="仿宋_GB2312" w:cs="仿宋_GB2312" w:eastAsia="仿宋_GB2312"/>
        </w:rPr>
        <w:t>8、本项目不接受联合体磋商：本项目不接受联合体磋商。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说明：（一）本项目履约保证金为合同金额的5%，在合同签订前必须缴纳，履约保证金缴纳形式：成交供应商应当以支票、汇票、本票、保函等非现金形式缴纳。 （二）收款账户：中标后由采购人提供； （三）履约保证金的退付：项目服务期满后无争议，履约保证金将退还至成交供应商账户。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代理服务费用收取对象：中标/成交供应商。采购代理服务费的收取 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数字教材获得电子出版物号，并在国家版本数据中心可查询</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教材的建设、编审并出版，服务平台提供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数字教材建设项目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标的名称：数字教材建设项目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b/>
              </w:rPr>
              <w:t>商务要求</w:t>
            </w:r>
          </w:p>
          <w:p>
            <w:pPr>
              <w:pStyle w:val="null3"/>
            </w:pPr>
            <w:r>
              <w:rPr>
                <w:rFonts w:ascii="仿宋_GB2312" w:hAnsi="仿宋_GB2312" w:cs="仿宋_GB2312" w:eastAsia="仿宋_GB2312"/>
              </w:rPr>
              <w:t>1、服务期限</w:t>
            </w:r>
            <w:r>
              <w:rPr>
                <w:rFonts w:ascii="仿宋_GB2312" w:hAnsi="仿宋_GB2312" w:cs="仿宋_GB2312" w:eastAsia="仿宋_GB2312"/>
              </w:rPr>
              <w:t>：</w:t>
            </w:r>
            <w:r>
              <w:rPr>
                <w:rFonts w:ascii="仿宋_GB2312" w:hAnsi="仿宋_GB2312" w:cs="仿宋_GB2312" w:eastAsia="仿宋_GB2312"/>
              </w:rPr>
              <w:t>在</w:t>
            </w:r>
            <w:r>
              <w:rPr>
                <w:rFonts w:ascii="仿宋_GB2312" w:hAnsi="仿宋_GB2312" w:cs="仿宋_GB2312" w:eastAsia="仿宋_GB2312"/>
              </w:rPr>
              <w:t>2025年12月31日前完成项目建设并交付</w:t>
            </w:r>
            <w:r>
              <w:rPr>
                <w:rFonts w:ascii="仿宋_GB2312" w:hAnsi="仿宋_GB2312" w:cs="仿宋_GB2312" w:eastAsia="仿宋_GB2312"/>
              </w:rPr>
              <w:t>。</w:t>
            </w:r>
          </w:p>
          <w:p>
            <w:pPr>
              <w:pStyle w:val="null3"/>
            </w:pPr>
            <w:r>
              <w:rPr>
                <w:rFonts w:ascii="仿宋_GB2312" w:hAnsi="仿宋_GB2312" w:cs="仿宋_GB2312" w:eastAsia="仿宋_GB2312"/>
              </w:rPr>
              <w:t>2、售后服务：</w:t>
            </w:r>
            <w:r>
              <w:rPr>
                <w:rFonts w:ascii="仿宋_GB2312" w:hAnsi="仿宋_GB2312" w:cs="仿宋_GB2312" w:eastAsia="仿宋_GB2312"/>
              </w:rPr>
              <w:t>在书稿版权有效期内提供</w:t>
            </w:r>
            <w:r>
              <w:rPr>
                <w:rFonts w:ascii="仿宋_GB2312" w:hAnsi="仿宋_GB2312" w:cs="仿宋_GB2312" w:eastAsia="仿宋_GB2312"/>
              </w:rPr>
              <w:t>平台服务</w:t>
            </w:r>
          </w:p>
          <w:p>
            <w:pPr>
              <w:pStyle w:val="null3"/>
            </w:pPr>
            <w:r>
              <w:rPr>
                <w:rFonts w:ascii="仿宋_GB2312" w:hAnsi="仿宋_GB2312" w:cs="仿宋_GB2312" w:eastAsia="仿宋_GB2312"/>
              </w:rPr>
              <w:t>3、付款方式：</w:t>
            </w:r>
            <w:r>
              <w:rPr>
                <w:rFonts w:ascii="仿宋_GB2312" w:hAnsi="仿宋_GB2312" w:cs="仿宋_GB2312" w:eastAsia="仿宋_GB2312"/>
              </w:rPr>
              <w:t>合同签订后，供应商持履约保证金交纳凭证、合同、预付款发票，至采购方处办理 ，达到付款条件起 30 日内，支付合同总金额的 40.00%。 项目完成并验收合格(达到使用标准)后 ，达到付款条件起 30 日内，支付合同总金额的 60.00%。</w:t>
            </w:r>
          </w:p>
          <w:p>
            <w:pPr>
              <w:pStyle w:val="null3"/>
            </w:pPr>
            <w:r>
              <w:rPr>
                <w:rFonts w:ascii="仿宋_GB2312" w:hAnsi="仿宋_GB2312" w:cs="仿宋_GB2312" w:eastAsia="仿宋_GB2312"/>
              </w:rPr>
              <w:t>4、成果交付要求：</w:t>
            </w:r>
            <w:r>
              <w:rPr>
                <w:rFonts w:ascii="仿宋_GB2312" w:hAnsi="仿宋_GB2312" w:cs="仿宋_GB2312" w:eastAsia="仿宋_GB2312"/>
              </w:rPr>
              <w:t>数字教材获得电子出版物号，并在国家版本数据中心可查询</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质量验收标准或规范</w:t>
            </w:r>
            <w:r>
              <w:rPr>
                <w:rFonts w:ascii="仿宋_GB2312" w:hAnsi="仿宋_GB2312" w:cs="仿宋_GB2312" w:eastAsia="仿宋_GB2312"/>
              </w:rPr>
              <w:t>：</w:t>
            </w:r>
            <w:r>
              <w:rPr>
                <w:rFonts w:ascii="仿宋_GB2312" w:hAnsi="仿宋_GB2312" w:cs="仿宋_GB2312" w:eastAsia="仿宋_GB2312"/>
              </w:rPr>
              <w:t>符合国家数字化教材出版的规范和标准。</w:t>
            </w:r>
          </w:p>
          <w:p>
            <w:pPr>
              <w:pStyle w:val="null3"/>
            </w:pPr>
            <w:r>
              <w:rPr>
                <w:rFonts w:ascii="仿宋_GB2312" w:hAnsi="仿宋_GB2312" w:cs="仿宋_GB2312" w:eastAsia="仿宋_GB2312"/>
                <w:b/>
              </w:rPr>
              <w:t>二、技术要求</w:t>
            </w:r>
          </w:p>
          <w:p>
            <w:pPr>
              <w:pStyle w:val="null3"/>
            </w:pPr>
            <w:r>
              <w:rPr>
                <w:rFonts w:ascii="仿宋_GB2312" w:hAnsi="仿宋_GB2312" w:cs="仿宋_GB2312" w:eastAsia="仿宋_GB2312"/>
              </w:rPr>
              <w:t>（一）</w:t>
            </w:r>
            <w:r>
              <w:rPr>
                <w:rFonts w:ascii="仿宋_GB2312" w:hAnsi="仿宋_GB2312" w:cs="仿宋_GB2312" w:eastAsia="仿宋_GB2312"/>
              </w:rPr>
              <w:t>数字教材审校出版</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供应商须为数字教材出版配备具有出版高级职称（副编审或编审）的项目负责人，</w:t>
            </w:r>
            <w:r>
              <w:rPr>
                <w:rFonts w:ascii="仿宋_GB2312" w:hAnsi="仿宋_GB2312" w:cs="仿宋_GB2312" w:eastAsia="仿宋_GB2312"/>
              </w:rPr>
              <w:t>严格落实国家新闻出版署规定的三审三校制度和责任编辑制度，保证数字教材成品质量符合出版质量管理规定。</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供应商须为数字教材申请正规电子出版物号，电子出版物号在国家版本数据中心可查询。</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数字教材责任编辑须具有出版中级及以上职称，并且在国家新闻出版署注册备案。责任编辑应对采购方作者团队通过线上或线下培训形式进行编写指导，并充分审核作者团队提供的教材大纲、样章，保证教材内容体现产业新技术、新工艺、新规范、新标准，符合出版导向和质量要求。</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书稿严格执行初审、复审、终审的三审流程，由不同的编辑对教材的政治倾向、思想水平、学术或艺术价值、科学性、知识性、文字规范性等进行全面把关。复审和终审编辑须具有出版高级职称（副编审或编审），各审稿均须留存相应的意见记录备查。</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数字教材严格执行三校流程，以减少最终出版的差错率，每次校对统计校对出来的异同和是非问题的数量，并留存相应的校样备查。</w:t>
            </w:r>
          </w:p>
          <w:p>
            <w:pPr>
              <w:pStyle w:val="null3"/>
            </w:pPr>
            <w:r>
              <w:rPr>
                <w:rFonts w:ascii="仿宋_GB2312" w:hAnsi="仿宋_GB2312" w:cs="仿宋_GB2312" w:eastAsia="仿宋_GB2312"/>
              </w:rPr>
              <w:t>6.</w:t>
            </w:r>
            <w:r>
              <w:rPr>
                <w:rFonts w:ascii="仿宋_GB2312" w:hAnsi="仿宋_GB2312" w:cs="仿宋_GB2312" w:eastAsia="仿宋_GB2312"/>
              </w:rPr>
              <w:t>供应商负责采购方提供的数字教材相关数字资源的审核，对数字资源落实三审制度，确保所有资源符合教学需求、对应教学内容，无政治性、敏感性、知识性、逻辑性错误；可正常浏览、播放，图片、画质、声音清晰流畅，格式符合数字教材平台要求。</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供应商应对教材中的文字、表格、图片等修改内容进行</w:t>
            </w:r>
            <w:r>
              <w:rPr>
                <w:rFonts w:ascii="仿宋_GB2312" w:hAnsi="仿宋_GB2312" w:cs="仿宋_GB2312" w:eastAsia="仿宋_GB2312"/>
                <w:sz w:val="21"/>
              </w:rPr>
              <w:t>审核、排版和整理</w:t>
            </w:r>
            <w:r>
              <w:rPr>
                <w:rFonts w:ascii="仿宋_GB2312" w:hAnsi="仿宋_GB2312" w:cs="仿宋_GB2312" w:eastAsia="仿宋_GB2312"/>
                <w:sz w:val="21"/>
              </w:rPr>
              <w:t>，结合教材类型进行封面设计，以保证教材出版的内容准确性和美观性。数字教材封面应符合教材特点并体现一定的艺术性，包含书名、作者和编著方式、出版单位、出版物号及条码等关键信息。</w:t>
            </w:r>
          </w:p>
          <w:p>
            <w:pPr>
              <w:pStyle w:val="null3"/>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供应商根据数字教材平台技术特征，负责数字教材的制作和平台部署，由数字教材项目负责人对上传的数字教材内容、数字资源内容进行最终检查并发布。</w:t>
            </w:r>
          </w:p>
          <w:p>
            <w:pPr>
              <w:pStyle w:val="null3"/>
            </w:pPr>
            <w:r>
              <w:rPr>
                <w:rFonts w:ascii="仿宋_GB2312" w:hAnsi="仿宋_GB2312" w:cs="仿宋_GB2312" w:eastAsia="仿宋_GB2312"/>
              </w:rPr>
              <w:t>（二）</w:t>
            </w:r>
            <w:r>
              <w:rPr>
                <w:rFonts w:ascii="仿宋_GB2312" w:hAnsi="仿宋_GB2312" w:cs="仿宋_GB2312" w:eastAsia="仿宋_GB2312"/>
              </w:rPr>
              <w:t>数字教材平台运维及应用支持</w:t>
            </w:r>
          </w:p>
          <w:p>
            <w:pPr>
              <w:pStyle w:val="null3"/>
            </w:pPr>
            <w:r>
              <w:rPr>
                <w:rFonts w:ascii="仿宋_GB2312" w:hAnsi="仿宋_GB2312" w:cs="仿宋_GB2312" w:eastAsia="仿宋_GB2312"/>
              </w:rPr>
              <w:t>9.</w:t>
            </w:r>
            <w:r>
              <w:rPr>
                <w:rFonts w:ascii="仿宋_GB2312" w:hAnsi="仿宋_GB2312" w:cs="仿宋_GB2312" w:eastAsia="仿宋_GB2312"/>
              </w:rPr>
              <w:t>数字教材出版后，在数字教材平台有专页可进行该数字教材的展示，包括但不限于封面、书名、出版物号、主编及简介、主编院校、内容摘要、目录</w:t>
            </w:r>
            <w:r>
              <w:rPr>
                <w:rFonts w:ascii="仿宋_GB2312" w:hAnsi="仿宋_GB2312" w:cs="仿宋_GB2312" w:eastAsia="仿宋_GB2312"/>
              </w:rPr>
              <w:t>、</w:t>
            </w:r>
            <w:r>
              <w:rPr>
                <w:rFonts w:ascii="仿宋_GB2312" w:hAnsi="仿宋_GB2312" w:cs="仿宋_GB2312" w:eastAsia="仿宋_GB2312"/>
              </w:rPr>
              <w:t>字数、资源情况</w:t>
            </w:r>
            <w:r>
              <w:rPr>
                <w:rFonts w:ascii="仿宋_GB2312" w:hAnsi="仿宋_GB2312" w:cs="仿宋_GB2312" w:eastAsia="仿宋_GB2312"/>
              </w:rPr>
              <w:t>等信息。</w:t>
            </w:r>
          </w:p>
          <w:p>
            <w:pPr>
              <w:pStyle w:val="null3"/>
            </w:pPr>
            <w:r>
              <w:rPr>
                <w:rFonts w:ascii="仿宋_GB2312" w:hAnsi="仿宋_GB2312" w:cs="仿宋_GB2312" w:eastAsia="仿宋_GB2312"/>
              </w:rPr>
              <w:t>10.</w:t>
            </w:r>
            <w:r>
              <w:rPr>
                <w:rFonts w:ascii="仿宋_GB2312" w:hAnsi="仿宋_GB2312" w:cs="仿宋_GB2312" w:eastAsia="仿宋_GB2312"/>
              </w:rPr>
              <w:t>数字教材平台采用</w:t>
            </w:r>
            <w:r>
              <w:rPr>
                <w:rFonts w:ascii="仿宋_GB2312" w:hAnsi="仿宋_GB2312" w:cs="仿宋_GB2312" w:eastAsia="仿宋_GB2312"/>
              </w:rPr>
              <w:t>B</w:t>
            </w:r>
            <w:r>
              <w:rPr>
                <w:rFonts w:ascii="仿宋_GB2312" w:hAnsi="仿宋_GB2312" w:cs="仿宋_GB2312" w:eastAsia="仿宋_GB2312"/>
              </w:rPr>
              <w:t>/S</w:t>
            </w:r>
            <w:r>
              <w:rPr>
                <w:rFonts w:ascii="仿宋_GB2312" w:hAnsi="仿宋_GB2312" w:cs="仿宋_GB2312" w:eastAsia="仿宋_GB2312"/>
              </w:rPr>
              <w:t>架构，采购方无需在</w:t>
            </w:r>
            <w:r>
              <w:rPr>
                <w:rFonts w:ascii="仿宋_GB2312" w:hAnsi="仿宋_GB2312" w:cs="仿宋_GB2312" w:eastAsia="仿宋_GB2312"/>
              </w:rPr>
              <w:t>PC下载客户端可直接使用，支持Windows及主流移动操作系统，能够实现跨平台随时随地应用。</w:t>
            </w:r>
          </w:p>
          <w:p>
            <w:pPr>
              <w:pStyle w:val="null3"/>
            </w:pPr>
            <w:r>
              <w:rPr>
                <w:rFonts w:ascii="仿宋_GB2312" w:hAnsi="仿宋_GB2312" w:cs="仿宋_GB2312" w:eastAsia="仿宋_GB2312"/>
              </w:rPr>
              <w:t>11.</w:t>
            </w:r>
            <w:r>
              <w:rPr>
                <w:rFonts w:ascii="仿宋_GB2312" w:hAnsi="仿宋_GB2312" w:cs="仿宋_GB2312" w:eastAsia="仿宋_GB2312"/>
              </w:rPr>
              <w:t>具有富媒体阅读器，不仅能够正确读取并显示数字教材内容，还应支持音</w:t>
            </w:r>
            <w:r>
              <w:rPr>
                <w:rFonts w:ascii="仿宋_GB2312" w:hAnsi="仿宋_GB2312" w:cs="仿宋_GB2312" w:eastAsia="仿宋_GB2312"/>
              </w:rPr>
              <w:t>/视频、动图、画廊（组图）、AR/VR资源、拓展阅读材料、词条标注等多种媒体形式直接播放或阅览。用户可根据阅读习惯自主调节字号大小、放大图片、多倍速播放视频等。</w:t>
            </w:r>
          </w:p>
          <w:p>
            <w:pPr>
              <w:pStyle w:val="null3"/>
            </w:pP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学生可在数字教材平台自主学习或完成各项学习任务。自主学习时可进行文字高亮</w:t>
            </w:r>
            <w:r>
              <w:rPr>
                <w:rFonts w:ascii="仿宋_GB2312" w:hAnsi="仿宋_GB2312" w:cs="仿宋_GB2312" w:eastAsia="仿宋_GB2312"/>
              </w:rPr>
              <w:t>/划线</w:t>
            </w:r>
            <w:r>
              <w:rPr>
                <w:rFonts w:ascii="仿宋_GB2312" w:hAnsi="仿宋_GB2312" w:cs="仿宋_GB2312" w:eastAsia="仿宋_GB2312"/>
              </w:rPr>
              <w:t>、做笔记、词条搜索、添加书签等；可完成的各项学习任务包括教材内容学习、</w:t>
            </w:r>
            <w:r>
              <w:rPr>
                <w:rFonts w:ascii="仿宋_GB2312" w:hAnsi="仿宋_GB2312" w:cs="仿宋_GB2312" w:eastAsia="仿宋_GB2312"/>
              </w:rPr>
              <w:t>视频学习、</w:t>
            </w:r>
            <w:r>
              <w:rPr>
                <w:rFonts w:ascii="仿宋_GB2312" w:hAnsi="仿宋_GB2312" w:cs="仿宋_GB2312" w:eastAsia="仿宋_GB2312"/>
              </w:rPr>
              <w:t>拓展资料学习、课堂讨论、实训、作业练习、参加考试等，满足各类教学场景的应用需求。</w:t>
            </w:r>
          </w:p>
          <w:p>
            <w:pPr>
              <w:pStyle w:val="null3"/>
            </w:pPr>
            <w:r>
              <w:rPr>
                <w:rFonts w:ascii="仿宋_GB2312" w:hAnsi="仿宋_GB2312" w:cs="仿宋_GB2312" w:eastAsia="仿宋_GB2312"/>
              </w:rPr>
              <w:t>13.支持</w:t>
            </w:r>
            <w:r>
              <w:rPr>
                <w:rFonts w:ascii="仿宋_GB2312" w:hAnsi="仿宋_GB2312" w:cs="仿宋_GB2312" w:eastAsia="仿宋_GB2312"/>
              </w:rPr>
              <w:t>生成</w:t>
            </w:r>
            <w:r>
              <w:rPr>
                <w:rFonts w:ascii="仿宋_GB2312" w:hAnsi="仿宋_GB2312" w:cs="仿宋_GB2312" w:eastAsia="仿宋_GB2312"/>
              </w:rPr>
              <w:t>数字教材</w:t>
            </w:r>
            <w:r>
              <w:rPr>
                <w:rFonts w:ascii="仿宋_GB2312" w:hAnsi="仿宋_GB2312" w:cs="仿宋_GB2312" w:eastAsia="仿宋_GB2312"/>
              </w:rPr>
              <w:t>思维导图，</w:t>
            </w:r>
            <w:r>
              <w:rPr>
                <w:rFonts w:ascii="仿宋_GB2312" w:hAnsi="仿宋_GB2312" w:cs="仿宋_GB2312" w:eastAsia="仿宋_GB2312"/>
              </w:rPr>
              <w:t>帮学生</w:t>
            </w:r>
            <w:r>
              <w:rPr>
                <w:rFonts w:ascii="仿宋_GB2312" w:hAnsi="仿宋_GB2312" w:cs="仿宋_GB2312" w:eastAsia="仿宋_GB2312"/>
              </w:rPr>
              <w:t>建立起全书的知识体系</w:t>
            </w:r>
            <w:r>
              <w:rPr>
                <w:rFonts w:ascii="仿宋_GB2312" w:hAnsi="仿宋_GB2312" w:cs="仿宋_GB2312" w:eastAsia="仿宋_GB2312"/>
              </w:rPr>
              <w:t>。支持思维导图的各项编辑操作，包括添加节点、删除节点、修改节点、移动节点、插入概要、节点展开与收起等。</w:t>
            </w:r>
            <w:r>
              <w:rPr>
                <w:rFonts w:ascii="仿宋_GB2312" w:hAnsi="仿宋_GB2312" w:cs="仿宋_GB2312" w:eastAsia="仿宋_GB2312"/>
              </w:rPr>
              <w:t>支持学生将笔记</w:t>
            </w:r>
            <w:r>
              <w:rPr>
                <w:rFonts w:ascii="仿宋_GB2312" w:hAnsi="仿宋_GB2312" w:cs="仿宋_GB2312" w:eastAsia="仿宋_GB2312"/>
              </w:rPr>
              <w:t>等学习批注添加到</w:t>
            </w:r>
            <w:r>
              <w:rPr>
                <w:rFonts w:ascii="仿宋_GB2312" w:hAnsi="仿宋_GB2312" w:cs="仿宋_GB2312" w:eastAsia="仿宋_GB2312"/>
              </w:rPr>
              <w:t>思维导图。</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数字教材平台应支持线上线下混合式教学，教师可按照实际教学班级数量和成员设置班级，并对班级学生进行管理</w:t>
            </w:r>
            <w:r>
              <w:rPr>
                <w:rFonts w:ascii="仿宋_GB2312" w:hAnsi="仿宋_GB2312" w:cs="仿宋_GB2312" w:eastAsia="仿宋_GB2312"/>
              </w:rPr>
              <w:t>。</w:t>
            </w:r>
            <w:r>
              <w:rPr>
                <w:rFonts w:ascii="仿宋_GB2312" w:hAnsi="仿宋_GB2312" w:cs="仿宋_GB2312" w:eastAsia="仿宋_GB2312"/>
              </w:rPr>
              <w:t>支持学员批量导入。</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提供教师专属网络空间，支持个性化资源上传和教学设计</w:t>
            </w:r>
            <w:r>
              <w:rPr>
                <w:rFonts w:ascii="仿宋_GB2312" w:hAnsi="仿宋_GB2312" w:cs="仿宋_GB2312" w:eastAsia="仿宋_GB2312"/>
              </w:rPr>
              <w:t>，</w:t>
            </w:r>
            <w:r>
              <w:rPr>
                <w:rFonts w:ascii="仿宋_GB2312" w:hAnsi="仿宋_GB2312" w:cs="仿宋_GB2312" w:eastAsia="仿宋_GB2312"/>
              </w:rPr>
              <w:t>支持教师个人题库和试卷库</w:t>
            </w:r>
            <w:r>
              <w:rPr>
                <w:rFonts w:ascii="仿宋_GB2312" w:hAnsi="仿宋_GB2312" w:cs="仿宋_GB2312" w:eastAsia="仿宋_GB2312"/>
              </w:rPr>
              <w:t>。教师可为每个班级设计不同的教学方案，添加文档、视频、压缩包等教学资源，添加教材和资源阅读、实训、讨论、作业、考试等学习任务，对作业、考试等任务设置分数，并对各项任务有选择地发布到班级。教师可在不同班级间复制教学设计方案，提高备课效率。</w:t>
            </w:r>
          </w:p>
          <w:p>
            <w:pPr>
              <w:pStyle w:val="null3"/>
            </w:pPr>
            <w:r>
              <w:rPr>
                <w:rFonts w:ascii="仿宋_GB2312" w:hAnsi="仿宋_GB2312" w:cs="仿宋_GB2312" w:eastAsia="仿宋_GB2312"/>
              </w:rPr>
              <w:t>16.支持教师在线教学，监控学生学习进度及任务完成情况，</w:t>
            </w:r>
            <w:r>
              <w:rPr>
                <w:rFonts w:ascii="仿宋_GB2312" w:hAnsi="仿宋_GB2312" w:cs="仿宋_GB2312" w:eastAsia="仿宋_GB2312"/>
              </w:rPr>
              <w:t>在线批阅学生的作业和考试，</w:t>
            </w:r>
            <w:r>
              <w:rPr>
                <w:rFonts w:ascii="仿宋_GB2312" w:hAnsi="仿宋_GB2312" w:cs="仿宋_GB2312" w:eastAsia="仿宋_GB2312"/>
              </w:rPr>
              <w:t>导出各项作业</w:t>
            </w:r>
            <w:r>
              <w:rPr>
                <w:rFonts w:ascii="仿宋_GB2312" w:hAnsi="仿宋_GB2312" w:cs="仿宋_GB2312" w:eastAsia="仿宋_GB2312"/>
              </w:rPr>
              <w:t>/考试详细数据，查看或导出学情报告。支持教师设置成绩权重，生成学生综合成绩，有效支撑过程性教学评价。</w:t>
            </w:r>
          </w:p>
          <w:p>
            <w:pPr>
              <w:pStyle w:val="null3"/>
            </w:pPr>
            <w:r>
              <w:rPr>
                <w:rFonts w:ascii="仿宋_GB2312" w:hAnsi="仿宋_GB2312" w:cs="仿宋_GB2312" w:eastAsia="仿宋_GB2312"/>
              </w:rPr>
              <w:t>1</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能够对资源、笔记、讨论、实训、作业、考试进行集中管理，在管理页面查看详情。每位用户可查看自己的学习报告，包括学习进度和任务完成情况。</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具有富媒体编辑器，不仅可直接导入</w:t>
            </w:r>
            <w:r>
              <w:rPr>
                <w:rFonts w:ascii="仿宋_GB2312" w:hAnsi="仿宋_GB2312" w:cs="仿宋_GB2312" w:eastAsia="仿宋_GB2312"/>
              </w:rPr>
              <w:t>Word等主要文档内容，还应支持手动文字录入、公式录入、音/视频插入、</w:t>
            </w:r>
            <w:r>
              <w:rPr>
                <w:rFonts w:ascii="仿宋_GB2312" w:hAnsi="仿宋_GB2312" w:cs="仿宋_GB2312" w:eastAsia="仿宋_GB2312"/>
              </w:rPr>
              <w:t>虚拟仿真（</w:t>
            </w:r>
            <w:r>
              <w:rPr>
                <w:rFonts w:ascii="仿宋_GB2312" w:hAnsi="仿宋_GB2312" w:cs="仿宋_GB2312" w:eastAsia="仿宋_GB2312"/>
              </w:rPr>
              <w:t>VR/AR）资源插入、</w:t>
            </w:r>
            <w:r>
              <w:rPr>
                <w:rFonts w:ascii="仿宋_GB2312" w:hAnsi="仿宋_GB2312" w:cs="仿宋_GB2312" w:eastAsia="仿宋_GB2312"/>
              </w:rPr>
              <w:t>图片插入、画廊（组图）插入、动图插入、词条标注等。可设置标题层次，生成目录结构，可在编辑器内对前台显示效果进行预览。</w:t>
            </w:r>
            <w:r>
              <w:rPr>
                <w:rFonts w:ascii="仿宋_GB2312" w:hAnsi="仿宋_GB2312" w:cs="仿宋_GB2312" w:eastAsia="仿宋_GB2312"/>
              </w:rPr>
              <w:t>支持设置上传资源的下载权限。</w:t>
            </w:r>
          </w:p>
          <w:p>
            <w:pPr>
              <w:pStyle w:val="null3"/>
            </w:pPr>
            <w:r>
              <w:rPr>
                <w:rFonts w:ascii="仿宋_GB2312" w:hAnsi="仿宋_GB2312" w:cs="仿宋_GB2312" w:eastAsia="仿宋_GB2312"/>
              </w:rPr>
              <w:t>19.支持教材发布的分级审核和AI检测，保障数字教材内容质量。</w:t>
            </w:r>
          </w:p>
          <w:p>
            <w:pPr>
              <w:pStyle w:val="null3"/>
            </w:pPr>
            <w:r>
              <w:rPr>
                <w:rFonts w:ascii="仿宋_GB2312" w:hAnsi="仿宋_GB2312" w:cs="仿宋_GB2312" w:eastAsia="仿宋_GB2312"/>
              </w:rPr>
              <w:t>20.支持作者备课，为数字教材的用书教师提供可参考的教学设计方案。</w:t>
            </w:r>
          </w:p>
          <w:p>
            <w:pPr>
              <w:pStyle w:val="null3"/>
            </w:pPr>
            <w:r>
              <w:rPr>
                <w:rFonts w:ascii="仿宋_GB2312" w:hAnsi="仿宋_GB2312" w:cs="仿宋_GB2312" w:eastAsia="仿宋_GB2312"/>
              </w:rPr>
              <w:t>✱</w:t>
            </w:r>
            <w:r>
              <w:rPr>
                <w:rFonts w:ascii="仿宋_GB2312" w:hAnsi="仿宋_GB2312" w:cs="仿宋_GB2312" w:eastAsia="仿宋_GB2312"/>
              </w:rPr>
              <w:t>21</w:t>
            </w:r>
            <w:r>
              <w:rPr>
                <w:rFonts w:ascii="仿宋_GB2312" w:hAnsi="仿宋_GB2312" w:cs="仿宋_GB2312" w:eastAsia="仿宋_GB2312"/>
              </w:rPr>
              <w:t>.</w:t>
            </w:r>
            <w:r>
              <w:rPr>
                <w:rFonts w:ascii="仿宋_GB2312" w:hAnsi="仿宋_GB2312" w:cs="仿宋_GB2312" w:eastAsia="仿宋_GB2312"/>
              </w:rPr>
              <w:t>具有完整的内容编辑操作日志记录，包括操作者、操作时间、操作章节及动作，可对教材内容的编辑审核进行追溯，以保证数字教材的内容安全。</w:t>
            </w:r>
          </w:p>
          <w:p>
            <w:pPr>
              <w:pStyle w:val="null3"/>
            </w:pPr>
            <w:r>
              <w:rPr>
                <w:rFonts w:ascii="仿宋_GB2312" w:hAnsi="仿宋_GB2312" w:cs="仿宋_GB2312" w:eastAsia="仿宋_GB2312"/>
              </w:rPr>
              <w:t>22</w:t>
            </w:r>
            <w:r>
              <w:rPr>
                <w:rFonts w:ascii="仿宋_GB2312" w:hAnsi="仿宋_GB2312" w:cs="仿宋_GB2312" w:eastAsia="仿宋_GB2312"/>
              </w:rPr>
              <w:t>.</w:t>
            </w:r>
            <w:r>
              <w:rPr>
                <w:rFonts w:ascii="仿宋_GB2312" w:hAnsi="仿宋_GB2312" w:cs="仿宋_GB2312" w:eastAsia="仿宋_GB2312"/>
              </w:rPr>
              <w:t>数字教材平台运营与用户反馈互动及时有效。平台应具有消息提醒功能，对与我相关的讨论、纠错及系统消息等进行提醒；具有纠错功能，可对教材中的内容错误、图片错误等进行纠错。</w:t>
            </w:r>
          </w:p>
          <w:p>
            <w:pPr>
              <w:pStyle w:val="null3"/>
            </w:pPr>
            <w:r>
              <w:rPr>
                <w:rFonts w:ascii="仿宋_GB2312" w:hAnsi="仿宋_GB2312" w:cs="仿宋_GB2312" w:eastAsia="仿宋_GB2312"/>
              </w:rPr>
              <w:t>✱</w:t>
            </w:r>
            <w:r>
              <w:rPr>
                <w:rFonts w:ascii="仿宋_GB2312" w:hAnsi="仿宋_GB2312" w:cs="仿宋_GB2312" w:eastAsia="仿宋_GB2312"/>
              </w:rPr>
              <w:t>23</w:t>
            </w:r>
            <w:r>
              <w:rPr>
                <w:rFonts w:ascii="仿宋_GB2312" w:hAnsi="仿宋_GB2312" w:cs="仿宋_GB2312" w:eastAsia="仿宋_GB2312"/>
              </w:rPr>
              <w:t>.</w:t>
            </w:r>
            <w:r>
              <w:rPr>
                <w:rFonts w:ascii="仿宋_GB2312" w:hAnsi="仿宋_GB2312" w:cs="仿宋_GB2312" w:eastAsia="仿宋_GB2312"/>
              </w:rPr>
              <w:t>供应商具备为采购方进行专属数字教材平台部署的能力，平台页面可呈现学校名称、</w:t>
            </w:r>
            <w:r>
              <w:rPr>
                <w:rFonts w:ascii="仿宋_GB2312" w:hAnsi="仿宋_GB2312" w:cs="仿宋_GB2312" w:eastAsia="仿宋_GB2312"/>
              </w:rPr>
              <w:t>Logo等标识，域名可体现学校缩写。可由采购方指定一名管理员对专属平台的数字教材进行管理。</w:t>
            </w:r>
          </w:p>
          <w:p>
            <w:pPr>
              <w:pStyle w:val="null3"/>
            </w:pPr>
            <w:r>
              <w:rPr>
                <w:rFonts w:ascii="仿宋_GB2312" w:hAnsi="仿宋_GB2312" w:cs="仿宋_GB2312" w:eastAsia="仿宋_GB2312"/>
              </w:rPr>
              <w:t>24.</w:t>
            </w:r>
            <w:r>
              <w:rPr>
                <w:rFonts w:ascii="仿宋_GB2312" w:hAnsi="仿宋_GB2312" w:cs="仿宋_GB2312" w:eastAsia="仿宋_GB2312"/>
              </w:rPr>
              <w:t>根据采购方需求，为出版的数字教材申报国家级、省级奖提供材料支持。</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本次项目出版教材总数量：</w:t>
            </w:r>
            <w:r>
              <w:rPr>
                <w:rFonts w:ascii="仿宋_GB2312" w:hAnsi="仿宋_GB2312" w:cs="仿宋_GB2312" w:eastAsia="仿宋_GB2312"/>
                <w:sz w:val="21"/>
              </w:rPr>
              <w:t>15</w:t>
            </w:r>
            <w:r>
              <w:rPr>
                <w:rFonts w:ascii="仿宋_GB2312" w:hAnsi="仿宋_GB2312" w:cs="仿宋_GB2312" w:eastAsia="仿宋_GB2312"/>
                <w:sz w:val="21"/>
              </w:rPr>
              <w:t>本。</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在2025年12月31日前完成项目建设并交付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数字教材取得正式电子出版物号，电子出版物号在国家版本中心可查询，现场验收或者线上验收。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合同签订后，供应商持履约保证金交纳凭证、合同、预付款发票，至采购方处办理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项目完成并验收合格(达到使用标准)后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产品或设备质量不能满足技术要求，采购方有权终止合同，并保留追究投标方违约责任的权利。（3）时间迟延的，违约方按照每天1%向对方承担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 施的政府采购项目的投标文件，同时，线下提交纸质投标文件正本壹份、副本壹份。 纸质投标文件正副本均需胶装， 若电子投标文件与纸质投标文件不一致的，以在线 提交的电子投标文件为准； 线下递交文件地点： 西安市高新区唐延路旺座现代城C座25楼2502室；若选择邮寄，请邮寄至旺座现代城C座25楼2502室。联系电话：029-88319689-8006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5、《调整优化节能产品、环境标志产品政府采购执行机制的通知》（财库[2019]9号）； 6、《实施政府采购节能产品、环境标志产品认证机构名录的公告》（2019年第16号）；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2025年01月至今已缴纳的至少一个月纳税证明或完税证明，依法免税的单位应提供相关证明材料（以税款所属期为准）；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提供经会计师事务所审计的2023年或2024年任意一年的财务审计报告（带二维码可查验）或在开标日期前六个月内其基本开户银行出具的资信证明；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供应商提供有效的《中华人民共和国互联网出版许可证》或《网络出版服务许可证》；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非法定代表人参加磋商的，须提供法定代表人授权委托书及被授权人身份证；法定代表人参加磋商时,须提供法定代表人身份证；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响应报价未超过预算或最高单价限价</w:t>
            </w:r>
          </w:p>
        </w:tc>
        <w:tc>
          <w:tcPr>
            <w:tcW w:type="dxa" w:w="1661"/>
          </w:tcPr>
          <w:p>
            <w:pPr>
              <w:pStyle w:val="null3"/>
            </w:pPr>
            <w:r>
              <w:rPr>
                <w:rFonts w:ascii="仿宋_GB2312" w:hAnsi="仿宋_GB2312" w:cs="仿宋_GB2312" w:eastAsia="仿宋_GB2312"/>
              </w:rPr>
              <w:t>01分项报价表.docx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13.供应商承诺书.docx 14.供应商认为其他有必要说明的其他问题.docx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供应商磋商保证金符合磋商文件要求</w:t>
            </w:r>
          </w:p>
        </w:tc>
        <w:tc>
          <w:tcPr>
            <w:tcW w:type="dxa" w:w="1661"/>
          </w:tcPr>
          <w:p>
            <w:pPr>
              <w:pStyle w:val="null3"/>
            </w:pPr>
            <w:r>
              <w:rPr>
                <w:rFonts w:ascii="仿宋_GB2312" w:hAnsi="仿宋_GB2312" w:cs="仿宋_GB2312" w:eastAsia="仿宋_GB2312"/>
              </w:rPr>
              <w:t>15.投标保证金缴纳凭证.docx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根据供应商对本项目的需求响应情况进行评审，全部响应计15分,每有一条✱项负偏离（未响应）扣3分，其他项负偏离每项扣1分，扣完为止。 备注：要求提供证书复印件、纸质证明材料扫描件或软件截图，每一个描述点均须完全满足，否则对应需求条款将视为不满足。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4.需求响应.docx</w:t>
            </w:r>
          </w:p>
        </w:tc>
      </w:tr>
      <w:tr>
        <w:tc>
          <w:tcPr>
            <w:tcW w:type="dxa" w:w="831"/>
            <w:vMerge/>
          </w:tcPr>
          <w:p/>
        </w:tc>
        <w:tc>
          <w:tcPr>
            <w:tcW w:type="dxa" w:w="1661"/>
          </w:tcPr>
          <w:p>
            <w:pPr>
              <w:pStyle w:val="null3"/>
            </w:pPr>
            <w:r>
              <w:rPr>
                <w:rFonts w:ascii="仿宋_GB2312" w:hAnsi="仿宋_GB2312" w:cs="仿宋_GB2312" w:eastAsia="仿宋_GB2312"/>
              </w:rPr>
              <w:t>项目需求理解及重难点分析</w:t>
            </w:r>
          </w:p>
        </w:tc>
        <w:tc>
          <w:tcPr>
            <w:tcW w:type="dxa" w:w="2492"/>
          </w:tcPr>
          <w:p>
            <w:pPr>
              <w:pStyle w:val="null3"/>
            </w:pPr>
            <w:r>
              <w:rPr>
                <w:rFonts w:ascii="仿宋_GB2312" w:hAnsi="仿宋_GB2312" w:cs="仿宋_GB2312" w:eastAsia="仿宋_GB2312"/>
              </w:rPr>
              <w:t>针对本项目提出适用于本项目的需求响应方案，包括但不限于：①项目理解及需求分析②项目重难点分析 完全满足采购需求并符合本项目实施特点的得4分；以上方案中每缺少一项内容扣2分；每有一处内容与实际需求不符或不满足要求或与本项目需求不切合或直接套用其他项目内容的扣0.5-1.5分，扣完为止。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5.项目需求理解及重难点分析.docx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根据供应商针对本项目提供具体实施方案，包括详细的培训、策划及设计、审校、出版及发行、平台运营等。 方案详实、措施具体、满足采购要求，可行性强得10分；未提供不计分。以上方案中每缺少一项内容扣2分；每有一处内容与实际需求不符或不满足要求或与本项目需求不切合或直接套用其他项目内容的扣0.5-1.5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6.项目实施方案.docx</w:t>
            </w:r>
          </w:p>
        </w:tc>
      </w:tr>
      <w:tr>
        <w:tc>
          <w:tcPr>
            <w:tcW w:type="dxa" w:w="831"/>
            <w:vMerge/>
          </w:tcPr>
          <w:p/>
        </w:tc>
        <w:tc>
          <w:tcPr>
            <w:tcW w:type="dxa" w:w="1661"/>
          </w:tcPr>
          <w:p>
            <w:pPr>
              <w:pStyle w:val="null3"/>
            </w:pPr>
            <w:r>
              <w:rPr>
                <w:rFonts w:ascii="仿宋_GB2312" w:hAnsi="仿宋_GB2312" w:cs="仿宋_GB2312" w:eastAsia="仿宋_GB2312"/>
              </w:rPr>
              <w:t>项目质量保障方案</w:t>
            </w:r>
          </w:p>
        </w:tc>
        <w:tc>
          <w:tcPr>
            <w:tcW w:type="dxa" w:w="2492"/>
          </w:tcPr>
          <w:p>
            <w:pPr>
              <w:pStyle w:val="null3"/>
            </w:pPr>
            <w:r>
              <w:rPr>
                <w:rFonts w:ascii="仿宋_GB2312" w:hAnsi="仿宋_GB2312" w:cs="仿宋_GB2312" w:eastAsia="仿宋_GB2312"/>
              </w:rPr>
              <w:t>根据供应商提供的项目质量保障方案，包括项目制度保障、出版质量保障、风险控制等。方案详实、措施具体、满足采购要求，可行性强得6分；未提供不计分。以上方案中每缺少一项内容扣2分；每有一处内容与实际需求不符或不满足要求或与本项目需求不切合或直接套用其他项目内容的扣0.5-1.5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7.项目质量保障方案.docx</w:t>
            </w:r>
          </w:p>
        </w:tc>
      </w:tr>
      <w:tr>
        <w:tc>
          <w:tcPr>
            <w:tcW w:type="dxa" w:w="831"/>
            <w:vMerge/>
          </w:tcPr>
          <w:p/>
        </w:tc>
        <w:tc>
          <w:tcPr>
            <w:tcW w:type="dxa" w:w="1661"/>
          </w:tcPr>
          <w:p>
            <w:pPr>
              <w:pStyle w:val="null3"/>
            </w:pPr>
            <w:r>
              <w:rPr>
                <w:rFonts w:ascii="仿宋_GB2312" w:hAnsi="仿宋_GB2312" w:cs="仿宋_GB2312" w:eastAsia="仿宋_GB2312"/>
              </w:rPr>
              <w:t>拟投入项目人员情况</w:t>
            </w:r>
          </w:p>
        </w:tc>
        <w:tc>
          <w:tcPr>
            <w:tcW w:type="dxa" w:w="2492"/>
          </w:tcPr>
          <w:p>
            <w:pPr>
              <w:pStyle w:val="null3"/>
            </w:pPr>
            <w:r>
              <w:rPr>
                <w:rFonts w:ascii="仿宋_GB2312" w:hAnsi="仿宋_GB2312" w:cs="仿宋_GB2312" w:eastAsia="仿宋_GB2312"/>
              </w:rPr>
              <w:t>1、提供拟投入项目组人员配备情况，包括但不限于管理人员、策划人员、编辑、售后服务人员等。在满足项目负责人为副编审及以上编辑职称、责任编辑为中级及以上职称且在国家新闻出版署注册备案的前提下，每多提供一个项目班组人员具有副编审及以上编辑职称的得1分，最高得4分。（提供职称复印件和社保证明，不提供不得分） 2、整体项目团队情况，根据人员配备数量、专业、岗位安排的合理性进行评审。 项目团队人员岗位职责分工明确、人员数量及结构安排合理、从业经验丰富，可行性强，得3分； 项目团队人员职责分工较明确、结构安排基本合理，从业经验较丰富，基本可行，得2分； 项目团队人员职责分工及结构安排基本明确，人员有一定的工作经验，可行性一般，得1分。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8.拟投入项目人员情况.docx</w:t>
            </w:r>
          </w:p>
        </w:tc>
      </w:tr>
      <w:tr>
        <w:tc>
          <w:tcPr>
            <w:tcW w:type="dxa" w:w="831"/>
            <w:vMerge/>
          </w:tcPr>
          <w:p/>
        </w:tc>
        <w:tc>
          <w:tcPr>
            <w:tcW w:type="dxa" w:w="1661"/>
          </w:tcPr>
          <w:p>
            <w:pPr>
              <w:pStyle w:val="null3"/>
            </w:pPr>
            <w:r>
              <w:rPr>
                <w:rFonts w:ascii="仿宋_GB2312" w:hAnsi="仿宋_GB2312" w:cs="仿宋_GB2312" w:eastAsia="仿宋_GB2312"/>
              </w:rPr>
              <w:t>教材策划能力</w:t>
            </w:r>
          </w:p>
        </w:tc>
        <w:tc>
          <w:tcPr>
            <w:tcW w:type="dxa" w:w="2492"/>
          </w:tcPr>
          <w:p>
            <w:pPr>
              <w:pStyle w:val="null3"/>
            </w:pPr>
            <w:r>
              <w:rPr>
                <w:rFonts w:ascii="仿宋_GB2312" w:hAnsi="仿宋_GB2312" w:cs="仿宋_GB2312" w:eastAsia="仿宋_GB2312"/>
              </w:rPr>
              <w:t>综合考虑供应商的信誉和履约能力等。 （1）供应商曾获得过行业内国家级奖项，每提供一项得1分，最高得2分。（提供证明材料复印件，不提供不得分） （2）供应商在数字化融合创新实践方面较为领先，在音像/电子/网络出版物方面曾获得过国家级荣誉，每提供一项得1分，最高得2分。（提供证明材料复印件，不提供不得分） （3）数字教材平台由供应商自主研发，且具有独立的软件著作权，得2分。（提供证书复印件，不提供不得分） （4）数字教材平台具有信息系统安全三级等级保护认证，得2分。（提供有效的备案证明材料复印件，不提供不得分） （5）供应商具有质量管理体系认证证书，得2分。（提供有效的证书复印件，不提供不得分）。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9.教材策划能力.docx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售后服务方案，包括：售后服务内容、售后服务体系及流程、售后服务机构及售后响应时间等。方案完整详细、可操作性强、合理、可行，符合实际需求得6分；未提供不计分。以上方案中每缺少一项内容扣2分；每有一处内容与实际需求不符或不满足要求或与本项目需求不切合或直接套用其他项目内容的扣0.5-1.5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保证措施及承诺</w:t>
            </w:r>
          </w:p>
        </w:tc>
        <w:tc>
          <w:tcPr>
            <w:tcW w:type="dxa" w:w="2492"/>
          </w:tcPr>
          <w:p>
            <w:pPr>
              <w:pStyle w:val="null3"/>
            </w:pPr>
            <w:r>
              <w:rPr>
                <w:rFonts w:ascii="仿宋_GB2312" w:hAnsi="仿宋_GB2312" w:cs="仿宋_GB2312" w:eastAsia="仿宋_GB2312"/>
              </w:rPr>
              <w:t>针对采购需求提出适用于本项目的措施方案及承诺，方案包括但不限于：①服务质量保证措施及承诺②进度控制措施及承诺③信息安全、保密措施及承诺。完全满足采购需求并符合本项目实施特点提出切实可行的措施并有承诺的得6分；以上方案中每缺少一项内容扣2分；每有一处内容与实际需求不符或不满足要求或与本项目需求不切合或直接套用其他项目内容的扣0.5-1.5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11.保证措施及承诺.docx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（1）供应商具有数字教材出版及服务项目经验，每提供一个案例得1分，最高得3分。（提供合同或成交通知书，不提供不得分） （2）供应商具有工作手册式教材设计与开发培训课程或培训项目设计与实施经验，每提供一个得1分，最多得3分。（提供合同/协议或订单数据等，不提供证明材料不得分）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最终报价得分＝（评审基准价/响应报价）×30（注：满足磋商文件要求且最低的响应报价为评审基准价。） 最低报价不是成交的唯一依据。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详见附件：4.需求响应.docx</w:t>
      </w:r>
    </w:p>
    <w:p>
      <w:pPr>
        <w:pStyle w:val="null3"/>
        <w:ind w:firstLine="960"/>
      </w:pPr>
      <w:r>
        <w:rPr>
          <w:rFonts w:ascii="仿宋_GB2312" w:hAnsi="仿宋_GB2312" w:cs="仿宋_GB2312" w:eastAsia="仿宋_GB2312"/>
        </w:rPr>
        <w:t>详见附件：5.项目需求理解及重难点分析.docx</w:t>
      </w:r>
    </w:p>
    <w:p>
      <w:pPr>
        <w:pStyle w:val="null3"/>
        <w:ind w:firstLine="960"/>
      </w:pPr>
      <w:r>
        <w:rPr>
          <w:rFonts w:ascii="仿宋_GB2312" w:hAnsi="仿宋_GB2312" w:cs="仿宋_GB2312" w:eastAsia="仿宋_GB2312"/>
        </w:rPr>
        <w:t>详见附件：6.项目实施方案.docx</w:t>
      </w:r>
    </w:p>
    <w:p>
      <w:pPr>
        <w:pStyle w:val="null3"/>
        <w:ind w:firstLine="960"/>
      </w:pPr>
      <w:r>
        <w:rPr>
          <w:rFonts w:ascii="仿宋_GB2312" w:hAnsi="仿宋_GB2312" w:cs="仿宋_GB2312" w:eastAsia="仿宋_GB2312"/>
        </w:rPr>
        <w:t>详见附件：7.项目质量保障方案.docx</w:t>
      </w:r>
    </w:p>
    <w:p>
      <w:pPr>
        <w:pStyle w:val="null3"/>
        <w:ind w:firstLine="960"/>
      </w:pPr>
      <w:r>
        <w:rPr>
          <w:rFonts w:ascii="仿宋_GB2312" w:hAnsi="仿宋_GB2312" w:cs="仿宋_GB2312" w:eastAsia="仿宋_GB2312"/>
        </w:rPr>
        <w:t>详见附件：8.拟投入项目人员情况.docx</w:t>
      </w:r>
    </w:p>
    <w:p>
      <w:pPr>
        <w:pStyle w:val="null3"/>
        <w:ind w:firstLine="960"/>
      </w:pPr>
      <w:r>
        <w:rPr>
          <w:rFonts w:ascii="仿宋_GB2312" w:hAnsi="仿宋_GB2312" w:cs="仿宋_GB2312" w:eastAsia="仿宋_GB2312"/>
        </w:rPr>
        <w:t>详见附件：9.教材策划能力.docx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详见附件：11.保证措施及承诺.docx</w:t>
      </w:r>
    </w:p>
    <w:p>
      <w:pPr>
        <w:pStyle w:val="null3"/>
        <w:ind w:firstLine="960"/>
      </w:pPr>
      <w:r>
        <w:rPr>
          <w:rFonts w:ascii="仿宋_GB2312" w:hAnsi="仿宋_GB2312" w:cs="仿宋_GB2312" w:eastAsia="仿宋_GB2312"/>
        </w:rPr>
        <w:t>详见附件：12.供应商业绩一览表.docx</w:t>
      </w:r>
    </w:p>
    <w:p>
      <w:pPr>
        <w:pStyle w:val="null3"/>
        <w:ind w:firstLine="960"/>
      </w:pPr>
      <w:r>
        <w:rPr>
          <w:rFonts w:ascii="仿宋_GB2312" w:hAnsi="仿宋_GB2312" w:cs="仿宋_GB2312" w:eastAsia="仿宋_GB2312"/>
        </w:rPr>
        <w:t>详见附件：13.供应商承诺书.docx</w:t>
      </w:r>
    </w:p>
    <w:p>
      <w:pPr>
        <w:pStyle w:val="null3"/>
        <w:ind w:firstLine="960"/>
      </w:pPr>
      <w:r>
        <w:rPr>
          <w:rFonts w:ascii="仿宋_GB2312" w:hAnsi="仿宋_GB2312" w:cs="仿宋_GB2312" w:eastAsia="仿宋_GB2312"/>
        </w:rPr>
        <w:t>详见附件：14.供应商认为其他有必要说明的其他问题.docx</w:t>
      </w:r>
    </w:p>
    <w:p>
      <w:pPr>
        <w:pStyle w:val="null3"/>
        <w:ind w:firstLine="960"/>
      </w:pPr>
      <w:r>
        <w:rPr>
          <w:rFonts w:ascii="仿宋_GB2312" w:hAnsi="仿宋_GB2312" w:cs="仿宋_GB2312" w:eastAsia="仿宋_GB2312"/>
        </w:rPr>
        <w:t>详见附件：15.投标保证金缴纳凭证.docx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详见附件：采购合同模板-数字教材建设项目.docx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