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版本号：0617—2521HZ147720250715002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教室护眼灯项目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0617—2521HZ1477</w:t>
      </w:r>
      <w:r>
        <w:br/>
      </w:r>
      <w:r>
        <w:br/>
      </w:r>
      <w:r>
        <w:br/>
      </w:r>
    </w:p>
    <w:p>
      <w:pPr>
        <w:pStyle w:val="null3"/>
        <w:jc w:val="center"/>
        <w:outlineLvl w:val="2"/>
      </w:pPr>
      <w:r>
        <w:rPr>
          <w:rFonts w:ascii="仿宋_GB2312" w:hAnsi="仿宋_GB2312" w:cs="仿宋_GB2312" w:eastAsia="仿宋_GB2312"/>
          <w:sz w:val="28"/>
          <w:b/>
        </w:rPr>
        <w:t>陕西省西安爱知中学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陕西省西安爱知中学</w:t>
      </w:r>
      <w:r>
        <w:rPr>
          <w:rFonts w:ascii="仿宋_GB2312" w:hAnsi="仿宋_GB2312" w:cs="仿宋_GB2312" w:eastAsia="仿宋_GB2312"/>
        </w:rPr>
        <w:t>委托，拟对</w:t>
      </w:r>
      <w:r>
        <w:rPr>
          <w:rFonts w:ascii="仿宋_GB2312" w:hAnsi="仿宋_GB2312" w:cs="仿宋_GB2312" w:eastAsia="仿宋_GB2312"/>
        </w:rPr>
        <w:t>教室护眼灯项目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0617—2521HZ1477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教室护眼灯项目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教室护眼灯、黑板灯、平板灯采购及安装，1批。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陕西省西安爱知中学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陕西省西安市西城区西七路239号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陕西省西安爱知中学经办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029-87274400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采购包1：819,017.99元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政府优先采购产品品目编码及名称：A020619普通照明用非定向自镇流LED 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政府优先采购产品品目编码及名称：A02061908 室内照明灯具</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向中标（成交）供应商收取代理服务费。 2.缴费时间：确定中标（成交）供应商后3日内，由中标（成交）供应商向采购代理机构一次付清代理服务费及造价咨询服务费。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陕西省西安爱知中学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陕西省西安爱知中学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陕西省西安爱知中学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采购文件和响应文件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教室护眼灯、黑板灯、平板灯采购及安装，1批。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819,017.99</w:t>
      </w:r>
    </w:p>
    <w:p>
      <w:pPr>
        <w:pStyle w:val="null3"/>
      </w:pPr>
      <w:r>
        <w:rPr>
          <w:rFonts w:ascii="仿宋_GB2312" w:hAnsi="仿宋_GB2312" w:cs="仿宋_GB2312" w:eastAsia="仿宋_GB2312"/>
        </w:rPr>
        <w:t>采购包最高限价（元）: 819,017.99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教室护眼灯、黑板灯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819,017.99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标的名称：教室护眼灯、黑板灯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（一）教室灯护眼灯（核心产品）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LED教室灯须通过国家强制性CCC认证；认证证书委托人、生产者（制造商）、生产企业必须为同一公司名称,提供CCC认证证书复印件,证书需清晰显示委托人、生产者和生产企业的名称一致（同一公司名称是指认证证书上的委托人、生产者和生产企业名称一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2、LED教室灯功率36±5W，功率因数≥0.90。(提供相关佐证材料，包括但不限于产品技术规格书或检测报告等，佐证材料应显示功率和功率因数符合要求。)</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3、LED教室灯光通量≥3200LM，光效≥90LM/W。(提供相关佐证材料，包括但不限于产品技术规格书或检测报告等，佐证材料应显示光通量和光效符合要求。)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4、LED教室灯色温在5000±200K区间。(提供相关佐证材料，包括但不限于产品技术规格书或检测报告等，佐证材料应显示色温符合要求。)</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5、LED教室灯显色指数Ra≥90，特殊显色指数R9≥50。(提供相关佐证材料，包括但不限于产品技术规格书或检测报告等，佐证材料应显示显色指数符合要求。)</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6、LED教室灯产品光频闪危害为无危害类或无显著影响水平。(提供相关佐证材料，包括但不限于产品技术规格书或检测报告等，佐证材料应显示光频闪危害符合要求。)</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7、LED教室灯使用寿命≥50000小时。(提供相关佐证材料，包括但不限于产品技术规格书或检测报告等，佐证材料应显示使用寿命符合要求。)</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8、LED教室灯色容差≤5 SDCM。(提供相关佐证材料，包括但不限于产品技术规格书或检测报告等，佐证材料应显示色容差符合要求。)</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9、LED教室灯绝缘电阻和电气强度符合《GB7000.1》标准要求。(提供相关佐证材料，包括但不限于产品技术规格书或检测报告等，佐证材料应显示显示绝缘电阻和电气强度符合《GB7000.1》标准要求。)</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10、LED教室灯至少依据《GB/T 26572》及《GB/T 26125》标准通过电器电子产品认证。(提供产品认证证书扫描件和国家市场监督管理总局全国认证认可信息公共服务平台（cx.cnca.cn）查询截图）</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11、LED教室灯频闪质量特性为无危害频闪或无频闪危害。(提供相关佐证材料，包括但不限于产品技术规格书或检测报告等，佐证材料应显示频闪质量特性符合要求。)</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12、LED教室灯视网膜蓝光危害类别为RG0（或无危险类）。(提供相关佐证材料，包括但不限于产品技术规格书或检测报告等，佐证材料应显示视网膜蓝光危害类别符合要求。)</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13、LED教室灯应为一体式灯具，不接受组合式灯具；LED教室灯应防眩光、防尘、背部透光。（提供承诺函，格式自拟）。</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（二）黑板灯</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LED黑板灯须通过国家强制性CCC认证；认证证书委托人、生产者（制造商）、生产企业必须为同一公司名称，提供CCC认证证书复印件,证书需清晰显示委托人、生产者和生产企业的名称一致（同一公司名称是指认证证书上的委托人、生产者和生产企业名称一致）。</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2、LED黑板灯额定功率≤40W。 (提供相关佐证材料，包括但不限于产品技术规格书或检测报告等，佐证材料应显示额定功率符合要求。)</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3、LED黑板灯长度≥900mm，为一体式防眩灯具。（提供承诺函，格式自拟）</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4、LED黑板灯色温（或相关色温）3300-5300K。(提供相关佐证材料，包括但不限于产品技术规格书或检测报告等，佐证材料应显示色温符合要求。)</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5、LED黑板灯显色指数Ra≥90、R9≥50。(提供相关佐证材料，包括但不限于产品技术规格书或检测报告等，佐证材料应显示显色指数符合要求。)</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6、LED黑板灯色容差≤5 SDCM。(提供相关佐证材料，包括但不限于产品技术规格书或检测报告等，佐证材料应显示色容差符合要求。)</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7、LED黑板灯绝缘电阻和电气强度符合《GB7000.1》标准要求。(提供相关佐证材料，包括但不限于产品技术规格书或检测报告等，佐证材料应显示显示绝缘电阻和电气强度符合《GB7000.1》标准要求。)</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8、LED黑板灯至少依据《GB/T 26572》及《GB/T 26125》标准通过电器电子产品认证。(提供产品认证证书扫描件和国家市场监督管理总局全国认证认可信息公共服务平台（cx.cnca.cn）查询截图）</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9、LED黑板灯频闪无危害或无频闪危害或无显著影响。(提供相关佐证材料，包括但不限于产品技术规格书或检测报告等，佐证材料应显示频闪质量特性符合要求。)</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10、LED黑板灯蓝光危害等级为RG0（或0类危险）。(提供相关佐证材料，包括但不限于产品技术规格书或检测报告等，佐证材料应显示蓝光危害类别符合要求。)</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11、LED黑板灯光通量≥2800LM，光效≥80LM/W。(提供相关佐证材料，包括但不限于产品技术规格书或检测报告等，佐证材料应显示光通量、光效符合要求。)</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12、LED黑板灯使用寿命≥50000小时。(提供相关佐证材料，包括但不限于产品技术规格书或检测报告等，佐证材料应显示使用寿命符合要求。)</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（三）LED方形教室灯（平板灯）</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1、LED教室灯尺寸长宽600*600±5mm，为一体式侧发光微晶防眩面板灯。（提供承诺函，格式自拟）</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2、LED教室灯色温（或相关色温）3300-5300K，显色指数Ra≥90、R9≥50，色容差≤5 SDCM。(提供相关佐证材料，包括但不限于产品技术规格书或检测报告等，佐证材料应显示色温、显示指数、色容差符合要求。)</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LED教室灯通过CCC认证，认证证书委托人、生产者（制造商）、生产企业必须为同一公司名称，提供CCC认证证书复印件,证书需清晰显示委托人、生产者和生产企业的名称一致（同一公司名称是指认证证书上的委托人、生产者和生产企业名称一致）。</w:t>
            </w:r>
          </w:p>
        </w:tc>
      </w:tr>
      <w:tr>
        <w:tc>
          <w:tcPr>
            <w:tcW w:type="dxa" w:w="2769"/>
          </w:tcPr>
          <w:p>
            <w:pPr>
              <w:pStyle w:val="null3"/>
            </w:pPr>
            <w:r>
              <w:rPr>
                <w:rFonts w:ascii="仿宋_GB2312" w:hAnsi="仿宋_GB2312" w:cs="仿宋_GB2312" w:eastAsia="仿宋_GB2312"/>
              </w:rPr>
              <w:t>33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4、额定功率≤40W。(提供相关佐证材料，包括但不限于产品技术规格书或检测报告等，佐证材料应显示功率符合要求。)</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5、LED教室灯至少依据《GB/T 26572》标准通过电器电子产品认证。(提供产品认证证书扫描件和国家市场监督管理总局全国认证认可信息公共服务平台（cx.cnca.cn）查询截图）</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6、LED教室灯无频闪或频闪无危害或无显著影响。 (提供相关佐证材料，包括但不限于产品技术规格书或检测报告等，佐证材料应显示频闪质量特性符合要求。)</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7、LED教室灯蓝光危害等级为RG0（或0类危险）。(提供相关佐证材料，包括但不限于产品技术规格书或检测报告等，佐证材料应显示蓝光危害类别符合要求。)</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8、LED教室灯至少依据《GB/T33721》标准满足光通维持寿命≥50000小时。(提供相关佐证材料，包括但不限于产品技术规格书或检测报告等，佐证材料应显示光通维持寿命符合要求。)</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二、商务要求</w:t>
            </w:r>
          </w:p>
        </w:tc>
      </w:tr>
      <w:tr>
        <w:tc>
          <w:tcPr>
            <w:tcW w:type="dxa" w:w="2769"/>
          </w:tcPr>
          <w:p>
            <w:pPr>
              <w:pStyle w:val="null3"/>
            </w:pPr>
            <w:r>
              <w:rPr>
                <w:rFonts w:ascii="仿宋_GB2312" w:hAnsi="仿宋_GB2312" w:cs="仿宋_GB2312" w:eastAsia="仿宋_GB2312"/>
              </w:rPr>
              <w:t>39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验收标准:(1)依据本项目特点根据国家或行业现有执行标准进行验收。(2)产品在开箱检验时必须完好，无破损，配置与装箱单相符。产品外观清洁，标记编号以及盘面显示等字体清晰，能够准确无误地表示设备的型号、规格、制造商质量及性能，不低于采购项目需求书中提出的要求。如发现货物有碰撞变形等质量问题，进行无条件更换，提供货物与采购文件要求参数不符的，视为虚假供货，成交人必须担由此产生的一切法律责任。(3)项目最终实现的功能必须达到采购文件所描述的功能，同时不能低于谈判响应文件技术方案所承诺的功能，否则，视为虚假骗取中标，成交人必须承担由此产生的一切法律责任。</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2、验收方法：(1)由使用单位组织相关人员对货物进行验收。(2)项目竣工后，由采购人组织相关人员进行验收，验收合格后由参加办理人员填写验收合格书。</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3、质保期：质保期5年，质保期内免上门服务。</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4、售后服务方式及响应时间：(1)上门服务保修，一切费用由中标人承担。(2)响应时间:接到故障通知，供应商应 30 分钟之内做出电话响应，1.5小时服务人员到达现场排除故障，并随时接受使用人员的咨询。</w:t>
            </w:r>
          </w:p>
        </w:tc>
      </w:tr>
      <w:tr>
        <w:tc>
          <w:tcPr>
            <w:tcW w:type="dxa" w:w="2769"/>
          </w:tcPr>
          <w:p>
            <w:pPr>
              <w:pStyle w:val="null3"/>
            </w:pPr>
            <w:r>
              <w:rPr>
                <w:rFonts w:ascii="仿宋_GB2312" w:hAnsi="仿宋_GB2312" w:cs="仿宋_GB2312" w:eastAsia="仿宋_GB2312"/>
              </w:rPr>
              <w:t>43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5、交付方式等:合同签订后5天内，由成交人负责免费运送到采购人指定的地点负责安装调试并培训操作人员。</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付款办法：(1)中小企业：合同生效后，达到付款条件起5日内，支付合同总金额的40.00%。安装调试完成并经验收合格后，达到付款条件起5日内，支付合同总金额的60.00%。(2)非中小企业：安装调试完成并经验收合格后，达到付款条件起5日内，支付合同金额的100%。</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7、售后服务的要求：成交人在质保期内对该项目设备进行不定期回访，如出现设备损坏、故障问题，应在电话通知后 1.5 小时内到达现场由成交人免费维修。并在本地有售后服务机构，(需提供证明文件)确保在设备出现故障后第一时间能按时到达维修地点。期间产生的一切费用均由成交人承担。</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三、数量</w:t>
            </w:r>
          </w:p>
        </w:tc>
      </w:tr>
      <w:tr>
        <w:tc>
          <w:tcPr>
            <w:tcW w:type="dxa" w:w="2769"/>
          </w:tcPr>
          <w:p>
            <w:pPr>
              <w:pStyle w:val="null3"/>
            </w:pPr>
            <w:r>
              <w:rPr>
                <w:rFonts w:ascii="仿宋_GB2312" w:hAnsi="仿宋_GB2312" w:cs="仿宋_GB2312" w:eastAsia="仿宋_GB2312"/>
              </w:rPr>
              <w:t>47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施工安装教室护眼灯数量明细</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sz w:val="21"/>
                    </w:rPr>
                    <w:t>位置</w:t>
                  </w:r>
                </w:p>
              </w:tc>
              <w:tc>
                <w:tcPr>
                  <w:tcW w:type="dxa" w:w="638"/>
                </w:tcPr>
                <w:p>
                  <w:pPr>
                    <w:pStyle w:val="null3"/>
                    <w:jc w:val="center"/>
                  </w:pPr>
                  <w:r>
                    <w:rPr>
                      <w:rFonts w:ascii="仿宋_GB2312" w:hAnsi="仿宋_GB2312" w:cs="仿宋_GB2312" w:eastAsia="仿宋_GB2312"/>
                      <w:sz w:val="21"/>
                    </w:rPr>
                    <w:t>说明</w:t>
                  </w:r>
                </w:p>
              </w:tc>
              <w:tc>
                <w:tcPr>
                  <w:tcW w:type="dxa" w:w="638"/>
                </w:tcPr>
                <w:p>
                  <w:pPr>
                    <w:pStyle w:val="null3"/>
                    <w:jc w:val="center"/>
                  </w:pPr>
                  <w:r>
                    <w:rPr>
                      <w:rFonts w:ascii="仿宋_GB2312" w:hAnsi="仿宋_GB2312" w:cs="仿宋_GB2312" w:eastAsia="仿宋_GB2312"/>
                      <w:sz w:val="21"/>
                    </w:rPr>
                    <w:t>教室护眼灯</w:t>
                  </w:r>
                </w:p>
              </w:tc>
              <w:tc>
                <w:tcPr>
                  <w:tcW w:type="dxa" w:w="638"/>
                </w:tcPr>
                <w:p>
                  <w:pPr>
                    <w:pStyle w:val="null3"/>
                    <w:jc w:val="center"/>
                  </w:pPr>
                  <w:r>
                    <w:rPr>
                      <w:rFonts w:ascii="仿宋_GB2312" w:hAnsi="仿宋_GB2312" w:cs="仿宋_GB2312" w:eastAsia="仿宋_GB2312"/>
                      <w:sz w:val="21"/>
                    </w:rPr>
                    <w:t>黑板护眼灯</w:t>
                  </w:r>
                </w:p>
              </w:tc>
            </w:tr>
            <w:tr>
              <w:tc>
                <w:tcPr>
                  <w:tcW w:type="dxa" w:w="638"/>
                </w:tcPr>
                <w:p>
                  <w:pPr>
                    <w:pStyle w:val="null3"/>
                    <w:jc w:val="center"/>
                  </w:pPr>
                  <w:r>
                    <w:rPr>
                      <w:rFonts w:ascii="仿宋_GB2312" w:hAnsi="仿宋_GB2312" w:cs="仿宋_GB2312" w:eastAsia="仿宋_GB2312"/>
                      <w:sz w:val="21"/>
                    </w:rPr>
                    <w:t>西教学楼</w:t>
                  </w:r>
                </w:p>
              </w:tc>
              <w:tc>
                <w:tcPr>
                  <w:tcW w:type="dxa" w:w="638"/>
                </w:tcPr>
                <w:p>
                  <w:pPr>
                    <w:pStyle w:val="null3"/>
                    <w:jc w:val="center"/>
                  </w:pPr>
                  <w:r>
                    <w:rPr>
                      <w:rFonts w:ascii="仿宋_GB2312" w:hAnsi="仿宋_GB2312" w:cs="仿宋_GB2312" w:eastAsia="仿宋_GB2312"/>
                      <w:sz w:val="21"/>
                    </w:rPr>
                    <w:t>20</w:t>
                  </w:r>
                  <w:r>
                    <w:rPr>
                      <w:rFonts w:ascii="仿宋_GB2312" w:hAnsi="仿宋_GB2312" w:cs="仿宋_GB2312" w:eastAsia="仿宋_GB2312"/>
                      <w:sz w:val="21"/>
                    </w:rPr>
                    <w:t>间教室</w:t>
                  </w:r>
                </w:p>
              </w:tc>
              <w:tc>
                <w:tcPr>
                  <w:tcW w:type="dxa" w:w="638"/>
                </w:tcPr>
                <w:p>
                  <w:pPr>
                    <w:pStyle w:val="null3"/>
                    <w:jc w:val="center"/>
                  </w:pPr>
                  <w:r>
                    <w:rPr>
                      <w:rFonts w:ascii="仿宋_GB2312" w:hAnsi="仿宋_GB2312" w:cs="仿宋_GB2312" w:eastAsia="仿宋_GB2312"/>
                      <w:sz w:val="21"/>
                    </w:rPr>
                    <w:t>180</w:t>
                  </w:r>
                </w:p>
              </w:tc>
              <w:tc>
                <w:tcPr>
                  <w:tcW w:type="dxa" w:w="638"/>
                </w:tcPr>
                <w:p>
                  <w:pPr>
                    <w:pStyle w:val="null3"/>
                    <w:jc w:val="center"/>
                  </w:pPr>
                  <w:r>
                    <w:rPr>
                      <w:rFonts w:ascii="仿宋_GB2312" w:hAnsi="仿宋_GB2312" w:cs="仿宋_GB2312" w:eastAsia="仿宋_GB2312"/>
                      <w:sz w:val="21"/>
                    </w:rPr>
                    <w:t>60</w:t>
                  </w:r>
                </w:p>
              </w:tc>
            </w:tr>
            <w:tr>
              <w:tc>
                <w:tcPr>
                  <w:tcW w:type="dxa" w:w="638"/>
                </w:tcPr>
                <w:p>
                  <w:pPr>
                    <w:pStyle w:val="null3"/>
                    <w:jc w:val="center"/>
                  </w:pPr>
                  <w:r>
                    <w:rPr>
                      <w:rFonts w:ascii="仿宋_GB2312" w:hAnsi="仿宋_GB2312" w:cs="仿宋_GB2312" w:eastAsia="仿宋_GB2312"/>
                      <w:sz w:val="21"/>
                    </w:rPr>
                    <w:t>东教学楼</w:t>
                  </w:r>
                </w:p>
              </w:tc>
              <w:tc>
                <w:tcPr>
                  <w:tcW w:type="dxa" w:w="638"/>
                </w:tcPr>
                <w:p>
                  <w:pPr>
                    <w:pStyle w:val="null3"/>
                    <w:jc w:val="center"/>
                  </w:pPr>
                  <w:r>
                    <w:rPr>
                      <w:rFonts w:ascii="仿宋_GB2312" w:hAnsi="仿宋_GB2312" w:cs="仿宋_GB2312" w:eastAsia="仿宋_GB2312"/>
                      <w:sz w:val="21"/>
                    </w:rPr>
                    <w:t>20</w:t>
                  </w:r>
                  <w:r>
                    <w:rPr>
                      <w:rFonts w:ascii="仿宋_GB2312" w:hAnsi="仿宋_GB2312" w:cs="仿宋_GB2312" w:eastAsia="仿宋_GB2312"/>
                      <w:sz w:val="21"/>
                    </w:rPr>
                    <w:t>间教室</w:t>
                  </w:r>
                </w:p>
              </w:tc>
              <w:tc>
                <w:tcPr>
                  <w:tcW w:type="dxa" w:w="638"/>
                </w:tcPr>
                <w:p>
                  <w:pPr>
                    <w:pStyle w:val="null3"/>
                    <w:jc w:val="center"/>
                  </w:pPr>
                  <w:r>
                    <w:rPr>
                      <w:rFonts w:ascii="仿宋_GB2312" w:hAnsi="仿宋_GB2312" w:cs="仿宋_GB2312" w:eastAsia="仿宋_GB2312"/>
                      <w:sz w:val="21"/>
                    </w:rPr>
                    <w:t>180</w:t>
                  </w:r>
                </w:p>
              </w:tc>
              <w:tc>
                <w:tcPr>
                  <w:tcW w:type="dxa" w:w="638"/>
                </w:tcPr>
                <w:p>
                  <w:pPr>
                    <w:pStyle w:val="null3"/>
                    <w:jc w:val="center"/>
                  </w:pPr>
                  <w:r>
                    <w:rPr>
                      <w:rFonts w:ascii="仿宋_GB2312" w:hAnsi="仿宋_GB2312" w:cs="仿宋_GB2312" w:eastAsia="仿宋_GB2312"/>
                      <w:sz w:val="21"/>
                    </w:rPr>
                    <w:t>60</w:t>
                  </w:r>
                </w:p>
              </w:tc>
            </w:tr>
            <w:tr>
              <w:tc>
                <w:tcPr>
                  <w:tcW w:type="dxa" w:w="638"/>
                </w:tcPr>
                <w:p>
                  <w:pPr>
                    <w:pStyle w:val="null3"/>
                    <w:jc w:val="center"/>
                  </w:pPr>
                  <w:r>
                    <w:rPr>
                      <w:rFonts w:ascii="仿宋_GB2312" w:hAnsi="仿宋_GB2312" w:cs="仿宋_GB2312" w:eastAsia="仿宋_GB2312"/>
                      <w:sz w:val="21"/>
                    </w:rPr>
                    <w:t>西小楼</w:t>
                  </w:r>
                </w:p>
              </w:tc>
              <w:tc>
                <w:tcPr>
                  <w:tcW w:type="dxa" w:w="638"/>
                </w:tcPr>
                <w:p>
                  <w:pPr>
                    <w:pStyle w:val="null3"/>
                    <w:jc w:val="center"/>
                  </w:pPr>
                  <w:r>
                    <w:rPr>
                      <w:rFonts w:ascii="仿宋_GB2312" w:hAnsi="仿宋_GB2312" w:cs="仿宋_GB2312" w:eastAsia="仿宋_GB2312"/>
                      <w:sz w:val="21"/>
                    </w:rPr>
                    <w:t>12间教室</w:t>
                  </w:r>
                </w:p>
              </w:tc>
              <w:tc>
                <w:tcPr>
                  <w:tcW w:type="dxa" w:w="638"/>
                </w:tcPr>
                <w:p>
                  <w:pPr>
                    <w:pStyle w:val="null3"/>
                    <w:jc w:val="center"/>
                  </w:pPr>
                  <w:r>
                    <w:rPr>
                      <w:rFonts w:ascii="仿宋_GB2312" w:hAnsi="仿宋_GB2312" w:cs="仿宋_GB2312" w:eastAsia="仿宋_GB2312"/>
                      <w:sz w:val="21"/>
                    </w:rPr>
                    <w:t>108</w:t>
                  </w:r>
                </w:p>
              </w:tc>
              <w:tc>
                <w:tcPr>
                  <w:tcW w:type="dxa" w:w="638"/>
                </w:tcPr>
                <w:p>
                  <w:pPr>
                    <w:pStyle w:val="null3"/>
                    <w:jc w:val="center"/>
                  </w:pPr>
                  <w:r>
                    <w:rPr>
                      <w:rFonts w:ascii="仿宋_GB2312" w:hAnsi="仿宋_GB2312" w:cs="仿宋_GB2312" w:eastAsia="仿宋_GB2312"/>
                      <w:sz w:val="21"/>
                    </w:rPr>
                    <w:t>36</w:t>
                  </w:r>
                </w:p>
              </w:tc>
            </w:tr>
            <w:tr>
              <w:tc>
                <w:tcPr>
                  <w:tcW w:type="dxa" w:w="638"/>
                </w:tcPr>
                <w:p>
                  <w:pPr>
                    <w:pStyle w:val="null3"/>
                    <w:jc w:val="center"/>
                  </w:pPr>
                  <w:r>
                    <w:rPr>
                      <w:rFonts w:ascii="仿宋_GB2312" w:hAnsi="仿宋_GB2312" w:cs="仿宋_GB2312" w:eastAsia="仿宋_GB2312"/>
                      <w:sz w:val="21"/>
                    </w:rPr>
                    <w:t>东小楼</w:t>
                  </w:r>
                </w:p>
              </w:tc>
              <w:tc>
                <w:tcPr>
                  <w:tcW w:type="dxa" w:w="638"/>
                </w:tcPr>
                <w:p>
                  <w:pPr>
                    <w:pStyle w:val="null3"/>
                    <w:jc w:val="center"/>
                  </w:pPr>
                  <w:r>
                    <w:rPr>
                      <w:rFonts w:ascii="仿宋_GB2312" w:hAnsi="仿宋_GB2312" w:cs="仿宋_GB2312" w:eastAsia="仿宋_GB2312"/>
                      <w:sz w:val="21"/>
                    </w:rPr>
                    <w:t>8间教室</w:t>
                  </w:r>
                </w:p>
              </w:tc>
              <w:tc>
                <w:tcPr>
                  <w:tcW w:type="dxa" w:w="638"/>
                </w:tcPr>
                <w:p>
                  <w:pPr>
                    <w:pStyle w:val="null3"/>
                    <w:jc w:val="center"/>
                  </w:pPr>
                  <w:r>
                    <w:rPr>
                      <w:rFonts w:ascii="仿宋_GB2312" w:hAnsi="仿宋_GB2312" w:cs="仿宋_GB2312" w:eastAsia="仿宋_GB2312"/>
                      <w:sz w:val="21"/>
                    </w:rPr>
                    <w:t>72</w:t>
                  </w:r>
                </w:p>
              </w:tc>
              <w:tc>
                <w:tcPr>
                  <w:tcW w:type="dxa" w:w="638"/>
                </w:tcPr>
                <w:p>
                  <w:pPr>
                    <w:pStyle w:val="null3"/>
                    <w:jc w:val="center"/>
                  </w:pPr>
                  <w:r>
                    <w:rPr>
                      <w:rFonts w:ascii="仿宋_GB2312" w:hAnsi="仿宋_GB2312" w:cs="仿宋_GB2312" w:eastAsia="仿宋_GB2312"/>
                      <w:sz w:val="21"/>
                    </w:rPr>
                    <w:t>24</w:t>
                  </w:r>
                </w:p>
              </w:tc>
            </w:tr>
            <w:tr>
              <w:tc>
                <w:tcPr>
                  <w:tcW w:type="dxa" w:w="638"/>
                </w:tcPr>
                <w:p>
                  <w:pPr>
                    <w:pStyle w:val="null3"/>
                    <w:jc w:val="center"/>
                  </w:pPr>
                  <w:r>
                    <w:rPr>
                      <w:rFonts w:ascii="仿宋_GB2312" w:hAnsi="仿宋_GB2312" w:cs="仿宋_GB2312" w:eastAsia="仿宋_GB2312"/>
                      <w:sz w:val="21"/>
                    </w:rPr>
                    <w:t>合计</w:t>
                  </w:r>
                </w:p>
              </w:tc>
              <w:tc>
                <w:tcPr>
                  <w:tcW w:type="dxa" w:w="638"/>
                </w:tcPr>
                <w:p>
                  <w:pPr>
                    <w:pStyle w:val="null3"/>
                    <w:jc w:val="center"/>
                  </w:pPr>
                  <w:r>
                    <w:rPr>
                      <w:rFonts w:ascii="仿宋_GB2312" w:hAnsi="仿宋_GB2312" w:cs="仿宋_GB2312" w:eastAsia="仿宋_GB2312"/>
                      <w:sz w:val="21"/>
                    </w:rPr>
                    <w:t>60</w:t>
                  </w:r>
                  <w:r>
                    <w:rPr>
                      <w:rFonts w:ascii="仿宋_GB2312" w:hAnsi="仿宋_GB2312" w:cs="仿宋_GB2312" w:eastAsia="仿宋_GB2312"/>
                      <w:sz w:val="21"/>
                    </w:rPr>
                    <w:t>间教室</w:t>
                  </w:r>
                </w:p>
              </w:tc>
              <w:tc>
                <w:tcPr>
                  <w:tcW w:type="dxa" w:w="638"/>
                </w:tcPr>
                <w:p>
                  <w:pPr>
                    <w:pStyle w:val="null3"/>
                    <w:jc w:val="center"/>
                  </w:pPr>
                  <w:r>
                    <w:rPr>
                      <w:rFonts w:ascii="仿宋_GB2312" w:hAnsi="仿宋_GB2312" w:cs="仿宋_GB2312" w:eastAsia="仿宋_GB2312"/>
                      <w:sz w:val="21"/>
                    </w:rPr>
                    <w:t>540</w:t>
                  </w:r>
                  <w:r>
                    <w:rPr>
                      <w:rFonts w:ascii="仿宋_GB2312" w:hAnsi="仿宋_GB2312" w:cs="仿宋_GB2312" w:eastAsia="仿宋_GB2312"/>
                      <w:sz w:val="21"/>
                    </w:rPr>
                    <w:t>盏</w:t>
                  </w:r>
                </w:p>
              </w:tc>
              <w:tc>
                <w:tcPr>
                  <w:tcW w:type="dxa" w:w="638"/>
                </w:tcPr>
                <w:p>
                  <w:pPr>
                    <w:pStyle w:val="null3"/>
                    <w:jc w:val="center"/>
                  </w:pPr>
                  <w:r>
                    <w:rPr>
                      <w:rFonts w:ascii="仿宋_GB2312" w:hAnsi="仿宋_GB2312" w:cs="仿宋_GB2312" w:eastAsia="仿宋_GB2312"/>
                      <w:sz w:val="21"/>
                    </w:rPr>
                    <w:t>180</w:t>
                  </w:r>
                  <w:r>
                    <w:rPr>
                      <w:rFonts w:ascii="仿宋_GB2312" w:hAnsi="仿宋_GB2312" w:cs="仿宋_GB2312" w:eastAsia="仿宋_GB2312"/>
                      <w:sz w:val="21"/>
                    </w:rPr>
                    <w:t>盏</w:t>
                  </w:r>
                </w:p>
              </w:tc>
            </w:tr>
          </w:tbl>
          <w:p>
            <w:pPr>
              <w:pStyle w:val="null3"/>
              <w:jc w:val="both"/>
            </w:pPr>
            <w:r>
              <w:rPr>
                <w:rFonts w:ascii="仿宋_GB2312" w:hAnsi="仿宋_GB2312" w:cs="仿宋_GB2312" w:eastAsia="仿宋_GB2312"/>
                <w:sz w:val="20"/>
              </w:rPr>
              <w:t>需要采购平板灯位置及数量</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sz w:val="21"/>
                    </w:rPr>
                    <w:t>位置</w:t>
                  </w:r>
                </w:p>
              </w:tc>
              <w:tc>
                <w:tcPr>
                  <w:tcW w:type="dxa" w:w="851"/>
                </w:tcPr>
                <w:p>
                  <w:pPr>
                    <w:pStyle w:val="null3"/>
                    <w:jc w:val="center"/>
                  </w:pPr>
                  <w:r>
                    <w:rPr>
                      <w:rFonts w:ascii="仿宋_GB2312" w:hAnsi="仿宋_GB2312" w:cs="仿宋_GB2312" w:eastAsia="仿宋_GB2312"/>
                      <w:sz w:val="21"/>
                    </w:rPr>
                    <w:t>平板灯数量</w:t>
                  </w:r>
                </w:p>
              </w:tc>
              <w:tc>
                <w:tcPr>
                  <w:tcW w:type="dxa" w:w="851"/>
                </w:tcPr>
                <w:p>
                  <w:pPr>
                    <w:pStyle w:val="null3"/>
                    <w:jc w:val="center"/>
                  </w:pPr>
                  <w:r>
                    <w:rPr>
                      <w:rFonts w:ascii="仿宋_GB2312" w:hAnsi="仿宋_GB2312" w:cs="仿宋_GB2312" w:eastAsia="仿宋_GB2312"/>
                      <w:sz w:val="21"/>
                    </w:rPr>
                    <w:t>规格</w:t>
                  </w:r>
                </w:p>
              </w:tc>
            </w:tr>
            <w:tr>
              <w:tc>
                <w:tcPr>
                  <w:tcW w:type="dxa" w:w="851"/>
                </w:tcPr>
                <w:p>
                  <w:pPr>
                    <w:pStyle w:val="null3"/>
                    <w:jc w:val="center"/>
                  </w:pPr>
                  <w:r>
                    <w:rPr>
                      <w:rFonts w:ascii="仿宋_GB2312" w:hAnsi="仿宋_GB2312" w:cs="仿宋_GB2312" w:eastAsia="仿宋_GB2312"/>
                      <w:sz w:val="21"/>
                    </w:rPr>
                    <w:t>办公室、实验室、图书馆、功能室、楼梯道灯</w:t>
                  </w:r>
                </w:p>
              </w:tc>
              <w:tc>
                <w:tcPr>
                  <w:tcW w:type="dxa" w:w="851"/>
                </w:tcPr>
                <w:p>
                  <w:pPr>
                    <w:pStyle w:val="null3"/>
                    <w:jc w:val="center"/>
                  </w:pPr>
                  <w:r>
                    <w:rPr>
                      <w:rFonts w:ascii="仿宋_GB2312" w:hAnsi="仿宋_GB2312" w:cs="仿宋_GB2312" w:eastAsia="仿宋_GB2312"/>
                      <w:sz w:val="21"/>
                    </w:rPr>
                    <w:t>760</w:t>
                  </w:r>
                  <w:r>
                    <w:rPr>
                      <w:rFonts w:ascii="仿宋_GB2312" w:hAnsi="仿宋_GB2312" w:cs="仿宋_GB2312" w:eastAsia="仿宋_GB2312"/>
                      <w:sz w:val="21"/>
                    </w:rPr>
                    <w:t>盏</w:t>
                  </w:r>
                </w:p>
              </w:tc>
              <w:tc>
                <w:tcPr>
                  <w:tcW w:type="dxa" w:w="851"/>
                </w:tcPr>
                <w:p>
                  <w:pPr>
                    <w:pStyle w:val="null3"/>
                    <w:jc w:val="center"/>
                  </w:pPr>
                  <w:r>
                    <w:rPr>
                      <w:rFonts w:ascii="仿宋_GB2312" w:hAnsi="仿宋_GB2312" w:cs="仿宋_GB2312" w:eastAsia="仿宋_GB2312"/>
                      <w:sz w:val="21"/>
                    </w:rPr>
                    <w:t>600×600</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四、其他要求</w:t>
            </w:r>
          </w:p>
        </w:tc>
      </w:tr>
      <w:tr>
        <w:tc>
          <w:tcPr>
            <w:tcW w:type="dxa" w:w="2769"/>
          </w:tcPr>
          <w:p>
            <w:pPr>
              <w:pStyle w:val="null3"/>
            </w:pPr>
            <w:r>
              <w:rPr>
                <w:rFonts w:ascii="仿宋_GB2312" w:hAnsi="仿宋_GB2312" w:cs="仿宋_GB2312" w:eastAsia="仿宋_GB2312"/>
              </w:rPr>
              <w:t>49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供应商需承诺在签订合同阶段或项目实施阶段无条件配合采购人提供检测报告等相关佐证材料，证明所供产品参数符合采购文件要求，如发现存在虚假响应情形，采购人有权无条件取消供应商中标资格（提供承诺函，格式自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合同签订后5天内，由成交人负责免费运送到采购人指定的地点负责安装调试并培训操作人员。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(1)依据本项目特点根据国家或行业现有执行标准进行验收。 (2)产品在开箱检验时必须完好，无破损，配置与装箱单相符。产品外观清洁，标记编号以及盘面显示等字体清晰，能够准确无误地表示设备的型号、规格、制造商质量及性能，不低于采购项目需求书中提出的要求。如发现货物有碰撞变形等质量问题，进行无条件更换，提供货物与采购文件要求参数不符的，视为虚假供货，成交人必须担由此产生的一切法律责任。 (3)项目最终实现的功能必须达到采购文件所描述的功能，同时不能低于响应文件技术方案所承诺的功能，否则，视为虚假骗取中标，成交人必须承担由此产生的一切法律责任。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质保期5年，质保期内免上门服务。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（1）按《中华人民共和国民法典》中的相关条款执行。未按合同要求提供货物或货物质 量不能满足合同要求，采购人有权依据《中华人民共和国民法典》有关条款及合同约定终止合同，并要求供应商承担违约责任。采购人行为违约导致成交人未能完成供货，成交人有权要求采购人在一定 期限内解决，逾期未解决造成供应商经济损失的，采购人应予赔偿。一方或双方出现违约情形但不影响合同实际履行的，在合同未经双方协商、中止、解除之前，成交人仍应按照约定提供货物。采购人、成交人任何一方无法定事由或合同约定事由解除合同，均应向对方支付合同未履行部分金额30%的违约金。（2）解决争议的方法：本合同在履行过程中发生的争议，由甲、乙双方当事人协商解决，协商不成则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1、因系统设置原因，本章3.4商务要求3.4.4支付约定与3.3技术要求二、商务要求6.付款方式不一致的，以本章3.3技术要求二、商务要求6.付款方式为准。 2、第三章 谈判项目技术、服务、商务及其他要求均为实质性条款，任意一条不满足将被否决投标。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的能力。提供注册登记凭证（营业执照、其他组织经营的合法凭证，自然人的提供身份证明文件），供应商需在项目电子化交易系统中按要求上传相应证明文件并进行电子签章。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3、具有履行合同所必需的设备和专业技术能力。提供声明文件，供应商需在项目电子化交易系统中按要求上传相应证明文件并进行电子签章。4、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5、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6、参加政府采购活动前3年内在经营活动中没有重大违法记录的书面声明。提供书面声明，供应商需在项目电子化交易系统中按要求上传相应证明文件并进行电子签章。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谈判响应方案说明书.docx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谈判响应文件的完整性审查</w:t>
            </w:r>
          </w:p>
        </w:tc>
        <w:tc>
          <w:tcPr>
            <w:tcW w:type="dxa" w:w="3322"/>
          </w:tcPr>
          <w:p>
            <w:pPr>
              <w:pStyle w:val="null3"/>
            </w:pPr>
            <w:r>
              <w:rPr>
                <w:rFonts w:ascii="仿宋_GB2312" w:hAnsi="仿宋_GB2312" w:cs="仿宋_GB2312" w:eastAsia="仿宋_GB2312"/>
              </w:rPr>
              <w:t>谈判响应文件是否按照谈判文件要求的格式编写</w:t>
            </w:r>
          </w:p>
        </w:tc>
        <w:tc>
          <w:tcPr>
            <w:tcW w:type="dxa" w:w="1661"/>
          </w:tcPr>
          <w:p>
            <w:pPr>
              <w:pStyle w:val="null3"/>
            </w:pPr>
            <w:r>
              <w:rPr>
                <w:rFonts w:ascii="仿宋_GB2312" w:hAnsi="仿宋_GB2312" w:cs="仿宋_GB2312" w:eastAsia="仿宋_GB2312"/>
              </w:rPr>
              <w:t>响应文件封面 谈判响应方案说明书.docx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谈判响应文件的有效性审查</w:t>
            </w:r>
          </w:p>
        </w:tc>
        <w:tc>
          <w:tcPr>
            <w:tcW w:type="dxa" w:w="3322"/>
          </w:tcPr>
          <w:p>
            <w:pPr>
              <w:pStyle w:val="null3"/>
            </w:pPr>
            <w:r>
              <w:rPr>
                <w:rFonts w:ascii="仿宋_GB2312" w:hAnsi="仿宋_GB2312" w:cs="仿宋_GB2312" w:eastAsia="仿宋_GB2312"/>
              </w:rPr>
              <w:t>1、谈判响应文件的签署、加盖印章是否有效； 2、提供的各种证明文件、数据、资料是否有效 。</w:t>
            </w:r>
          </w:p>
        </w:tc>
        <w:tc>
          <w:tcPr>
            <w:tcW w:type="dxa" w:w="1661"/>
          </w:tcPr>
          <w:p>
            <w:pPr>
              <w:pStyle w:val="null3"/>
            </w:pPr>
            <w:r>
              <w:rPr>
                <w:rFonts w:ascii="仿宋_GB2312" w:hAnsi="仿宋_GB2312" w:cs="仿宋_GB2312" w:eastAsia="仿宋_GB2312"/>
              </w:rPr>
              <w:t>响应文件封面 谈判响应方案说明书.docx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谈判响应文件的响应性审查</w:t>
            </w:r>
          </w:p>
        </w:tc>
        <w:tc>
          <w:tcPr>
            <w:tcW w:type="dxa" w:w="3322"/>
          </w:tcPr>
          <w:p>
            <w:pPr>
              <w:pStyle w:val="null3"/>
            </w:pPr>
            <w:r>
              <w:rPr>
                <w:rFonts w:ascii="仿宋_GB2312" w:hAnsi="仿宋_GB2312" w:cs="仿宋_GB2312" w:eastAsia="仿宋_GB2312"/>
              </w:rPr>
              <w:t>1、谈判报价是否超过采购预算； 2、谈判报价有效期是否符合谈判文件的要求； 3、响应文件内容是否符合国家法律法规； 4、是否响应实质性条款。</w:t>
            </w:r>
          </w:p>
        </w:tc>
        <w:tc>
          <w:tcPr>
            <w:tcW w:type="dxa" w:w="1661"/>
          </w:tcPr>
          <w:p>
            <w:pPr>
              <w:pStyle w:val="null3"/>
            </w:pPr>
            <w:r>
              <w:rPr>
                <w:rFonts w:ascii="仿宋_GB2312" w:hAnsi="仿宋_GB2312" w:cs="仿宋_GB2312" w:eastAsia="仿宋_GB2312"/>
              </w:rPr>
              <w:t>响应文件封面 谈判响应方案说明书.docx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从质量和服务均能满足采购文件实质性响应要求的供应商中，按照最后报价和计算价格折扣之后的评审价（如果有）由低到高的顺序提出3名成交候选人，出现相同最低报价的，由谈判小组从技术指标、实施方案、培训方案、售后服务方案、业绩经验等方面对报价相同的供应商进行详细评审与比较，优先推荐以上方面更优的供应商。 注：（1）提供相同品牌产品且通过资格审查、符合性审查的不同供应商参加同一合同包谈判的，按一家供应商计算，谈判评审后最后报价最低的同品牌供应商获得成交候选供应商推荐资格；同品牌供应商出现相同最后报价的，由谈判小组从技术指标、实施方案、培训方案、售后服务方案、业绩经验等方面对报价相同的供应商进行详细评审与比较，优先推荐以上方面更优的供应商作为成交候选供应商；其他同品牌供应商不作为成交候选供应商。 （2）在第三章 谈判项目技术、服务、商务及其他要求3.3技术要求中载明核心产品，供应商提供的核心产品中只要有1 个核心产品的品牌相同，相关供应商将被认定为属于提供相同品牌产品，按以上规定处理。 （3）经相同品牌产品报价处理后，供应商数量不足三个，终止谈判。</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详见附件：相关资格证明文件.docx</w:t>
      </w:r>
    </w:p>
    <w:p>
      <w:pPr>
        <w:pStyle w:val="null3"/>
        <w:ind w:firstLine="960"/>
      </w:pPr>
      <w:r>
        <w:rPr>
          <w:rFonts w:ascii="仿宋_GB2312" w:hAnsi="仿宋_GB2312" w:cs="仿宋_GB2312" w:eastAsia="仿宋_GB2312"/>
        </w:rPr>
        <w:t>详见附件：谈判响应方案说明书.docx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