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版本号：LT2025-102520250624001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果业高质量发展基础支撑项目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LT2025-1025</w:t>
      </w:r>
      <w:r>
        <w:br/>
      </w:r>
      <w:r>
        <w:br/>
      </w:r>
      <w:r>
        <w:br/>
      </w:r>
    </w:p>
    <w:p>
      <w:pPr>
        <w:pStyle w:val="null3"/>
        <w:jc w:val="center"/>
        <w:outlineLvl w:val="2"/>
      </w:pPr>
      <w:r>
        <w:rPr>
          <w:rFonts w:ascii="仿宋_GB2312" w:hAnsi="仿宋_GB2312" w:cs="仿宋_GB2312" w:eastAsia="仿宋_GB2312"/>
          <w:sz w:val="28"/>
          <w:b/>
        </w:rPr>
        <w:t>陕西省果业中心</w:t>
      </w:r>
    </w:p>
    <w:p>
      <w:pPr>
        <w:pStyle w:val="null3"/>
        <w:jc w:val="center"/>
        <w:outlineLvl w:val="2"/>
      </w:pPr>
      <w:r>
        <w:rPr>
          <w:rFonts w:ascii="仿宋_GB2312" w:hAnsi="仿宋_GB2312" w:cs="仿宋_GB2312" w:eastAsia="仿宋_GB2312"/>
          <w:sz w:val="28"/>
          <w:b/>
        </w:rPr>
        <w:t>陕西龙投国发项目管理有限公司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陕西龙投国发项目管理有限公司</w:t>
      </w:r>
      <w:r>
        <w:rPr>
          <w:rFonts w:ascii="仿宋_GB2312" w:hAnsi="仿宋_GB2312" w:cs="仿宋_GB2312" w:eastAsia="仿宋_GB2312"/>
        </w:rPr>
        <w:t>（以下简称“代理机构”）受</w:t>
      </w:r>
      <w:r>
        <w:rPr>
          <w:rFonts w:ascii="仿宋_GB2312" w:hAnsi="仿宋_GB2312" w:cs="仿宋_GB2312" w:eastAsia="仿宋_GB2312"/>
        </w:rPr>
        <w:t>陕西省果业中心</w:t>
      </w:r>
      <w:r>
        <w:rPr>
          <w:rFonts w:ascii="仿宋_GB2312" w:hAnsi="仿宋_GB2312" w:cs="仿宋_GB2312" w:eastAsia="仿宋_GB2312"/>
        </w:rPr>
        <w:t>委托，拟对</w:t>
      </w:r>
      <w:r>
        <w:rPr>
          <w:rFonts w:ascii="仿宋_GB2312" w:hAnsi="仿宋_GB2312" w:cs="仿宋_GB2312" w:eastAsia="仿宋_GB2312"/>
        </w:rPr>
        <w:t>果业高质量发展基础支撑项目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LT2025-1025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果业高质量发展基础支撑项目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根据我省果业主要产区的地理条件，结合劳动力等农业生产因素，统筹规划形成《陕西果业种植区划》，优化生产资源配置，建立科学种植体系，提高果业生产效率，从而提高果品质量，推动果业实现现代化转型升级。</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1、营业执照：具有独立承担民事责任能力的法人或其他组织，提供合法有效的统一社会信用代码的营业执照或事业单位法人证书等国家规定的相关证明，自然人参与的提供其身份证明；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2、采购活动前3年内在经营活动中没有重大违法记录：供应商应具备良好的商业信誉，提供参加政府采购活动前3年内在经营活动中没有重大违法记录的书面声明；</w:t>
      </w:r>
    </w:p>
    <w:p>
      <w:pPr>
        <w:pStyle w:val="null3"/>
      </w:pPr>
      <w:r>
        <w:rPr>
          <w:rFonts w:ascii="仿宋_GB2312" w:hAnsi="仿宋_GB2312" w:cs="仿宋_GB2312" w:eastAsia="仿宋_GB2312"/>
        </w:rPr>
        <w:t>3、财务状况报告：供应商提供2023或2024年的财务审计报告（至少包括资产负债表和利润表，成立时间至提交响应文件截止时间不足一年的可提供成立后任意时段的资产负债表），或其开标前六个月内银行开具的资信证明；</w:t>
      </w:r>
    </w:p>
    <w:p>
      <w:pPr>
        <w:pStyle w:val="null3"/>
      </w:pPr>
      <w:r>
        <w:rPr>
          <w:rFonts w:ascii="仿宋_GB2312" w:hAnsi="仿宋_GB2312" w:cs="仿宋_GB2312" w:eastAsia="仿宋_GB2312"/>
        </w:rPr>
        <w:t>4、社会保障资金缴纳证明：供应商提供近一年内本单位已缴存的至少一个月的社会保障资金缴存单据或社保机构开具的社会保险参保缴费情况证明，依法不需要缴纳社会保障资金的供应商应提供相关文件证明；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5、税收缴纳证明：供应商提供近一年内已缴纳的至少一个月的纳税证明或完税证明，纳税证明或完税证明上应有代收机构或税务机关的公章，依法免税的供应商应提供相关文件证明；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6、具备履行合同所必需的设备和专业技术能力：具备履行合同所必需的设备和专业技术能力的证明材料</w:t>
      </w:r>
    </w:p>
    <w:p>
      <w:pPr>
        <w:pStyle w:val="null3"/>
      </w:pPr>
      <w:r>
        <w:rPr>
          <w:rFonts w:ascii="仿宋_GB2312" w:hAnsi="仿宋_GB2312" w:cs="仿宋_GB2312" w:eastAsia="仿宋_GB2312"/>
        </w:rPr>
        <w:t xml:space="preserve">7、信用中国：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 </w:t>
      </w:r>
    </w:p>
    <w:p>
      <w:pPr>
        <w:pStyle w:val="null3"/>
      </w:pPr>
      <w:r>
        <w:rPr>
          <w:rFonts w:ascii="仿宋_GB2312" w:hAnsi="仿宋_GB2312" w:cs="仿宋_GB2312" w:eastAsia="仿宋_GB2312"/>
        </w:rPr>
        <w:t>8、法定代表人证明或授权：法定代表人直接参加投标的，须出具法人身份证明及身份证；法定代表人授权代表参加投标的，须出具法定代表人授权书及授权代表身份证。</w:t>
      </w:r>
    </w:p>
    <w:p>
      <w:pPr>
        <w:pStyle w:val="null3"/>
      </w:pPr>
      <w:r>
        <w:rPr>
          <w:rFonts w:ascii="仿宋_GB2312" w:hAnsi="仿宋_GB2312" w:cs="仿宋_GB2312" w:eastAsia="仿宋_GB2312"/>
        </w:rPr>
        <w:t>9、控股要求：单位负责人为同一人或者存在直接控股、管理关系的不同供应商，不得参加同一合同项下的政府采购活动。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陕西省果业中心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未央区凤城七路118号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吴江力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17782972269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陕西龙投国发项目管理有限公司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陕西省西安市碑林区陕西省西安市碑林区更新街13号铭爵大厦20707室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029-87976716-605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执行。 成交单位在领取成交通知书前，须向采购代理机构支付代理服务费。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陕西省果业中心</w:t>
      </w:r>
      <w:r>
        <w:rPr>
          <w:rFonts w:ascii="仿宋_GB2312" w:hAnsi="仿宋_GB2312" w:cs="仿宋_GB2312" w:eastAsia="仿宋_GB2312"/>
        </w:rPr>
        <w:t>和</w:t>
      </w:r>
      <w:r>
        <w:rPr>
          <w:rFonts w:ascii="仿宋_GB2312" w:hAnsi="仿宋_GB2312" w:cs="仿宋_GB2312" w:eastAsia="仿宋_GB2312"/>
        </w:rPr>
        <w:t>陕西龙投国发项目管理有限公司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陕西省果业中心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陕西龙投国发项目管理有限公司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陕西省果业中心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陕西龙投国发项目管理有限公司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以实际合同内容为准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陕西龙投国发项目管理有限公司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陕西龙投国发项目管理有限公司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陕西龙投国发项目管理有限公司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联系人：党洁</w:t>
      </w:r>
    </w:p>
    <w:p>
      <w:pPr>
        <w:pStyle w:val="null3"/>
      </w:pPr>
      <w:r>
        <w:rPr>
          <w:rFonts w:ascii="仿宋_GB2312" w:hAnsi="仿宋_GB2312" w:cs="仿宋_GB2312" w:eastAsia="仿宋_GB2312"/>
        </w:rPr>
        <w:t>联系电话：029-87976716-605</w:t>
      </w:r>
    </w:p>
    <w:p>
      <w:pPr>
        <w:pStyle w:val="null3"/>
      </w:pPr>
      <w:r>
        <w:rPr>
          <w:rFonts w:ascii="仿宋_GB2312" w:hAnsi="仿宋_GB2312" w:cs="仿宋_GB2312" w:eastAsia="仿宋_GB2312"/>
        </w:rPr>
        <w:t>地址：陕西省西安市碑林区更新街13号铭爵大厦20707室</w:t>
      </w:r>
    </w:p>
    <w:p>
      <w:pPr>
        <w:pStyle w:val="null3"/>
      </w:pPr>
      <w:r>
        <w:rPr>
          <w:rFonts w:ascii="仿宋_GB2312" w:hAnsi="仿宋_GB2312" w:cs="仿宋_GB2312" w:eastAsia="仿宋_GB2312"/>
        </w:rPr>
        <w:t>邮编：710001</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果业高质量发展基础支撑项目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500000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标的名称：500000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color w:val="333333"/>
                <w:shd w:fill="FFFFFF" w:val="clear"/>
              </w:rPr>
              <w:t>一、采购内容：果业高质量发展基础支撑项目</w:t>
            </w:r>
          </w:p>
          <w:p>
            <w:pPr>
              <w:pStyle w:val="null3"/>
              <w:ind w:firstLine="480"/>
            </w:pPr>
            <w:r>
              <w:rPr>
                <w:rFonts w:ascii="仿宋_GB2312" w:hAnsi="仿宋_GB2312" w:cs="仿宋_GB2312" w:eastAsia="仿宋_GB2312"/>
                <w:sz w:val="24"/>
              </w:rPr>
              <w:t>二、规划编制内容要求</w:t>
            </w:r>
          </w:p>
          <w:p>
            <w:pPr>
              <w:pStyle w:val="null3"/>
              <w:ind w:firstLine="480"/>
            </w:pPr>
            <w:r>
              <w:rPr>
                <w:rFonts w:ascii="仿宋_GB2312" w:hAnsi="仿宋_GB2312" w:cs="仿宋_GB2312" w:eastAsia="仿宋_GB2312"/>
                <w:sz w:val="24"/>
              </w:rPr>
              <w:t>委托专业机构开展陕西省果树种植区划项目编制。对陕西省主栽果树种植区域的品种结构和布局进行研究，在全省苹果、猕猴桃和其他水果主产区开展实地调研，组织相关领域专家，构建陕西省果树种植综合区划指标体系和适生指标空间数据库，撰写陕西省果树种植区划方案。</w:t>
            </w:r>
          </w:p>
          <w:p>
            <w:pPr>
              <w:pStyle w:val="null3"/>
              <w:ind w:firstLine="480"/>
            </w:pPr>
            <w:r>
              <w:rPr>
                <w:rFonts w:ascii="仿宋_GB2312" w:hAnsi="仿宋_GB2312" w:cs="仿宋_GB2312" w:eastAsia="仿宋_GB2312"/>
                <w:sz w:val="24"/>
              </w:rPr>
              <w:t>1.专业性:项目需系统整合农学、土壤、气象、生态等多学科知识，结合陕西复杂地形地貌，开展果业种植适宜性评价与分区。需具备长期从事农业资源区划、区域农业规划的专业团队，要求编制单位具备深厚的农业科学研究与规划实践经验。</w:t>
            </w:r>
          </w:p>
          <w:p>
            <w:pPr>
              <w:pStyle w:val="null3"/>
              <w:ind w:firstLine="480"/>
              <w:jc w:val="both"/>
            </w:pPr>
            <w:r>
              <w:rPr>
                <w:rFonts w:ascii="仿宋_GB2312" w:hAnsi="仿宋_GB2312" w:cs="仿宋_GB2312" w:eastAsia="仿宋_GB2312"/>
                <w:sz w:val="24"/>
              </w:rPr>
              <w:t>2.前瞻性:需立足国家乡村振兴战略及陕西省果业高质量发展目标，结合气候变化趋势、市场消费升级需求，预测未来10-15年果业种植结构调整方向，提出前瞻性布局方案对编制单位的战略研判能力与行业洞察力要求极高。</w:t>
            </w:r>
          </w:p>
          <w:p>
            <w:pPr>
              <w:pStyle w:val="null3"/>
              <w:ind w:firstLine="480"/>
              <w:jc w:val="both"/>
            </w:pPr>
            <w:r>
              <w:rPr>
                <w:rFonts w:ascii="仿宋_GB2312" w:hAnsi="仿宋_GB2312" w:cs="仿宋_GB2312" w:eastAsia="仿宋_GB2312"/>
                <w:sz w:val="24"/>
              </w:rPr>
              <w:t>3.科技性:项目需运用地理信息系统、遥感监测、大数据分析等技术，构建数字化果业种植区划模型，实现空间数据与农业生产数据的深度融合，要求编制单位具备先进的技术手段和数据处理能力。</w:t>
            </w:r>
          </w:p>
          <w:p>
            <w:pPr>
              <w:pStyle w:val="null3"/>
              <w:ind w:firstLine="480"/>
              <w:jc w:val="both"/>
            </w:pPr>
            <w:r>
              <w:rPr>
                <w:rFonts w:ascii="仿宋_GB2312" w:hAnsi="仿宋_GB2312" w:cs="仿宋_GB2312" w:eastAsia="仿宋_GB2312"/>
                <w:sz w:val="24"/>
              </w:rPr>
              <w:t>4.指导性:区划成果将作为陕西省果业产业政策制定、区域种植规划、新型果园建设的核心依据，需充分衔接地方发展需求，确保成果具备科学性、权威性与可操作性，对编制单位的政策解读能力和实践指导经验要求严格。</w:t>
            </w:r>
          </w:p>
          <w:p>
            <w:pPr>
              <w:pStyle w:val="null3"/>
              <w:ind w:firstLine="482"/>
              <w:jc w:val="both"/>
            </w:pPr>
            <w:r>
              <w:rPr>
                <w:rFonts w:ascii="仿宋_GB2312" w:hAnsi="仿宋_GB2312" w:cs="仿宋_GB2312" w:eastAsia="仿宋_GB2312"/>
                <w:sz w:val="24"/>
                <w:b/>
              </w:rPr>
              <w:t>三、</w:t>
            </w:r>
            <w:r>
              <w:rPr>
                <w:rFonts w:ascii="仿宋_GB2312" w:hAnsi="仿宋_GB2312" w:cs="仿宋_GB2312" w:eastAsia="仿宋_GB2312"/>
                <w:sz w:val="24"/>
                <w:b/>
              </w:rPr>
              <w:t>技术要求</w:t>
            </w:r>
          </w:p>
          <w:p>
            <w:pPr>
              <w:pStyle w:val="null3"/>
              <w:ind w:firstLine="480"/>
              <w:jc w:val="both"/>
            </w:pPr>
            <w:r>
              <w:rPr>
                <w:rFonts w:ascii="仿宋_GB2312" w:hAnsi="仿宋_GB2312" w:cs="仿宋_GB2312" w:eastAsia="仿宋_GB2312"/>
                <w:sz w:val="24"/>
              </w:rPr>
              <w:t>通过砧穗组合试验示范，编制《</w:t>
            </w:r>
            <w:r>
              <w:rPr>
                <w:rFonts w:ascii="仿宋_GB2312" w:hAnsi="仿宋_GB2312" w:cs="仿宋_GB2312" w:eastAsia="仿宋_GB2312"/>
                <w:sz w:val="24"/>
              </w:rPr>
              <w:t>陕西果业种植区划》，明确苹果、猕猴桃等种植区划，建立砧穗组合评价指标体系，确保果树种苗优良品质，推动果树品种结构布局优化调整，有效提高我省苹果的市场竞争力和行业认可度，保障产业健康有序发展，推进果业高质量发展。</w:t>
            </w:r>
          </w:p>
          <w:p>
            <w:pPr>
              <w:pStyle w:val="null3"/>
              <w:ind w:firstLine="480"/>
              <w:jc w:val="both"/>
            </w:pPr>
            <w:r>
              <w:rPr>
                <w:rFonts w:ascii="仿宋_GB2312" w:hAnsi="仿宋_GB2312" w:cs="仿宋_GB2312" w:eastAsia="仿宋_GB2312"/>
                <w:sz w:val="24"/>
              </w:rPr>
              <w:t>根据我省果业主要产区的地理条件，结合劳动力等农业生产因素，委托相关单位统筹规划形成《陕西果业种植区划》，优化生产资源配置，建立科学种植体系，提高果业生产效率，从而提高果品质量，推动果业实现现代化转型升级。</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供应商根据服务要求自主填写</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供应商根据服务要求自主填写</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自合同签订之日起30个工作日内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1.本项目由采购人及相关部门按法定规划要求定期对项目进行阶段性验收。 2.验收标准：满足采购人需求，编制内容和深度应符合相关规范和标准的要求。 3.验收合格后，填写验收单，双方签字生效。 4.验收依据： 1）合同文本； 2）招标文件及澄清函、投标文件； 3）国家和行业制定的相应标准和规范； 4）验收清单。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合同签订后七个工作日内，甲方向乙方支付合同总价款的70%，在每次支付费用前，乙方应提交甲方等额发票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乙方向甲方交付编制初步成果七个工作日内，甲方向乙方支付合同总价款的30%，在每次支付费用前，乙方应提交甲方等额发票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合同执行中发生争议的，当事人双方应协商解决，协商达不成一致时，可向当地行 政仲裁机关申请仲裁或者向人民法院 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一、服务周期及服务地点： 1、服务周期：自合同签订之日起30个工作日内 2、服务地点：采购人指定地点。 二、付款方式： （1）合同签订后七个工作日内，甲方向乙方支付合同总价款的70%； （2）乙方向甲方交付编制初步成果七个工作日内，甲方向乙方支付合同总价款的30%； （3）在每次支付费用前，乙方应提交甲方等额发票。 三、验收： 1.本项目由采购人及相关部门按法定规划要求定期对项目进行阶段性验收。 2.验收标准：满足采购人需求，编制内容和深度应符合相关规范和标准的要求。 3.验收合格后，填写验收单，双方签字生效。 4.验收依据： 1）合同文本； 2）招标文件及澄清函、投标文件； 3）国家和行业制定的相应标准和规范； 4）验收清单。 四、质量要求、验收标准 满足采购人需求，编制内容和深度应符合相关规范和标准的要求。 五、合同实施： 1、中标人应在合同签订后7个日历日内安排人员（项目组成人员简历表所列）与使用单位就规划方案编制实施等工作进行安排、部署。 2、若未能在服务周期内完成合同规定的义务，由此对采购人造成的延误和一切损失，由中标人承担和赔偿。 六、违约责任： 依据《中华人民共和国民法典》、《中华人民共和国政府采购法》的相关条款和本合同约定，中标单位未全面履行合同义务或者发生违约，采购人有权终止合同，依法向中标单位进行经济索赔，并报请政府采购监督管理机关进行相应的行政处罚。采购人违约的，应当赔偿给中标单位造成的经济损失。</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五.供应商承诺书docx.docx 投标函 投标文件封面 六.资格证明文件docx.docx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供应商提供2023或2024年的财务审计报告（至少包括资产负债表和利润表，成立时间至提交响应文件截止时间不足一年的可提供成立后任意时段的资产负债表），或其开标前六个月内银行开具的资信证明；</w:t>
            </w:r>
          </w:p>
        </w:tc>
        <w:tc>
          <w:tcPr>
            <w:tcW w:type="dxa" w:w="1661"/>
          </w:tcPr>
          <w:p>
            <w:pPr>
              <w:pStyle w:val="null3"/>
            </w:pPr>
            <w:r>
              <w:rPr>
                <w:rFonts w:ascii="仿宋_GB2312" w:hAnsi="仿宋_GB2312" w:cs="仿宋_GB2312" w:eastAsia="仿宋_GB2312"/>
              </w:rPr>
              <w:t>六.资格证明文件docx.docx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附件4.供应商企业关系关联承诺书docx.docx 投标函 六.资格证明文件docx.docx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具有独立承担民事责任能力的法人或其他组织，提供合法有效的统一社会信用代码的营业执照或事业单位法人证书等国家规定的相关证明，自然人参与的提供其身份证明；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六.资格证明文件docx.docx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采购活动前3年内在经营活动中没有重大违法记录</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六.资格证明文件docx.docx 附件2参加本次政府采购活动书面声明函.docx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供应商提供2023或2024年的财务审计报告（至少包括资产负债表和利润表，成立时间至提交响应文件截止时间不足一年的可提供成立后任意时段的资产负债表），或其开标前六个月内银行开具的资信证明；</w:t>
            </w:r>
          </w:p>
        </w:tc>
        <w:tc>
          <w:tcPr>
            <w:tcW w:type="dxa" w:w="1661"/>
          </w:tcPr>
          <w:p>
            <w:pPr>
              <w:pStyle w:val="null3"/>
            </w:pPr>
            <w:r>
              <w:rPr>
                <w:rFonts w:ascii="仿宋_GB2312" w:hAnsi="仿宋_GB2312" w:cs="仿宋_GB2312" w:eastAsia="仿宋_GB2312"/>
              </w:rPr>
              <w:t>六.资格证明文件docx.docx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供应商提供近一年内本单位已缴存的至少一个月的社会保障资金缴存单据或社保机构开具的社会保险参保缴费情况证明，依法不需要缴纳社会保障资金的供应商应提供相关文件证明；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六.资格证明文件docx.docx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供应商提供近一年内已缴纳的至少一个月的纳税证明或完税证明，纳税证明或完税证明上应有代收机构或税务机关的公章，依法免税的供应商应提供相关文件证明；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六.资格证明文件docx.docx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w:t>
            </w:r>
          </w:p>
        </w:tc>
        <w:tc>
          <w:tcPr>
            <w:tcW w:type="dxa" w:w="1661"/>
          </w:tcPr>
          <w:p>
            <w:pPr>
              <w:pStyle w:val="null3"/>
            </w:pPr>
            <w:r>
              <w:rPr>
                <w:rFonts w:ascii="仿宋_GB2312" w:hAnsi="仿宋_GB2312" w:cs="仿宋_GB2312" w:eastAsia="仿宋_GB2312"/>
              </w:rPr>
              <w:t>六.资格证明文件docx.docx 附件3.履约能力函docx.docx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 xml:space="preserve">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 </w:t>
            </w:r>
          </w:p>
        </w:tc>
        <w:tc>
          <w:tcPr>
            <w:tcW w:type="dxa" w:w="1661"/>
          </w:tcPr>
          <w:p>
            <w:pPr>
              <w:pStyle w:val="null3"/>
            </w:pPr>
            <w:r>
              <w:rPr>
                <w:rFonts w:ascii="仿宋_GB2312" w:hAnsi="仿宋_GB2312" w:cs="仿宋_GB2312" w:eastAsia="仿宋_GB2312"/>
              </w:rPr>
              <w:t>六.资格证明文件docx.docx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法定代表人证明或授权</w:t>
            </w:r>
          </w:p>
        </w:tc>
        <w:tc>
          <w:tcPr>
            <w:tcW w:type="dxa" w:w="3322"/>
          </w:tcPr>
          <w:p>
            <w:pPr>
              <w:pStyle w:val="null3"/>
            </w:pPr>
            <w:r>
              <w:rPr>
                <w:rFonts w:ascii="仿宋_GB2312" w:hAnsi="仿宋_GB2312" w:cs="仿宋_GB2312" w:eastAsia="仿宋_GB2312"/>
              </w:rPr>
              <w:t>法定代表人直接参加投标的，须出具法人身份证明及身份证；法定代表人授权代表参加投标的，须出具法定代表人授权书及授权代表身份证。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附件1.法定代表人身份证明及授权·docx.docx 六.资格证明文件docx.docx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控股要求</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附件4.供应商企业关系关联承诺书docx.docx 六.资格证明文件docx.docx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六.资格证明文件docx.docx 四.商务及技术响应说明docx.docx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供应商对招标文件中项目背景、服务内容和要求的理解程度: 完全理解本招标文件“需求”全部内容，表达准确，符合要求，得8分； 能够理解本招标文件“需求”内容，表达较准确，较符合要求，得6分； 基本理解本招标文件“需求”内容，表达基本准确，基本符合要求，得4分； 不理解本招标文件“需求”内容，表达不太准确，不太符合要求，得 2分； 未提供相应内容，得0分。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三.投标方案说明书docx.docx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供应商针对该采购包内容的相关了解，特点分析到位，对采购包内容的重点、难点问题情况进行综合判断: 理解本采购包的特点，较准确把握本采购包的重点、难点分析透彻，得6分； 了解本采购包的特点，基本把握本采购包的重点、难点,分析较为合理，得4分； 对本采购包的特点缺乏认识，未能把握本采购包的重点、难点，得 2分； 未提供相应内容，得0分。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三.投标方案说明书docx.docx</w:t>
            </w:r>
          </w:p>
        </w:tc>
      </w:tr>
      <w:tr>
        <w:tc>
          <w:tcPr>
            <w:tcW w:type="dxa" w:w="831"/>
            <w:vMerge/>
          </w:tcPr>
          <w:p/>
        </w:tc>
        <w:tc>
          <w:tcPr>
            <w:tcW w:type="dxa" w:w="1661"/>
          </w:tcPr>
          <w:p>
            <w:pPr>
              <w:pStyle w:val="null3"/>
            </w:pPr>
            <w:r>
              <w:rPr>
                <w:rFonts w:ascii="仿宋_GB2312" w:hAnsi="仿宋_GB2312" w:cs="仿宋_GB2312" w:eastAsia="仿宋_GB2312"/>
              </w:rPr>
              <w:t>策划方案</w:t>
            </w:r>
          </w:p>
        </w:tc>
        <w:tc>
          <w:tcPr>
            <w:tcW w:type="dxa" w:w="2492"/>
          </w:tcPr>
          <w:p>
            <w:pPr>
              <w:pStyle w:val="null3"/>
            </w:pPr>
            <w:r>
              <w:rPr>
                <w:rFonts w:ascii="仿宋_GB2312" w:hAnsi="仿宋_GB2312" w:cs="仿宋_GB2312" w:eastAsia="仿宋_GB2312"/>
              </w:rPr>
              <w:t>策划方案中能提供专业分析、见解深入且考虑全面、方案具有可行性且具有创新亮点，得9分； 策划方案中分析得当、方案内容完整且有一定创新的，得6分； 方案中分析见解一般，方案内容一般，得3分； 策划方秦中分析差，方案内容差的，得1分；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三.投标方案说明书docx.docx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方案科学合理，可行，针对性强;技术措施可靠，细节完善，资源投入完全满足本项目需要的，得8分； 方案较合理、可行，技术措施较可靠，但细节待完善;资源投入满足本项目的布展需要的，得6分； 方案基本合理、可行;技术措施一般，资源投入基本满足本项目的布展需要的，得4分； 方案欠合理;技术措施较弱，资源投入不能完全满足本项目的布展需要的，得2分；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三.投标方案说明书docx.docx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项目团队有丰富的类似项目经验，团队人员资质、数量、专业配备合理，经验丰富得8分； 项目团队有类似项目经验，团队人员资质、数量、专业配备较合理，经验一般得6分； 团队人员资质、数量、专业配备基本合理，经验较少得4分； 团队人员资质、数量、专业配备较差，无类似项目经验得2分； 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附表1-3人员表.docx</w:t>
            </w:r>
          </w:p>
          <w:p>
            <w:pPr>
              <w:pStyle w:val="null3"/>
            </w:pPr>
            <w:r>
              <w:rPr>
                <w:rFonts w:ascii="仿宋_GB2312" w:hAnsi="仿宋_GB2312" w:cs="仿宋_GB2312" w:eastAsia="仿宋_GB2312"/>
              </w:rPr>
              <w:t>三.投标方案说明书docx.docx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评委根据供应商提供的服务质量保障措施的合理性、可行性、完善性等情况综合评判。 合理、可行，服务体系完善得6分； 基本合理、可行，服务体系基本符合得4分； 较差的得 2分； 未提供相应内容，得0分。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三.投标方案说明书docx.docx</w:t>
            </w:r>
          </w:p>
        </w:tc>
      </w:tr>
      <w:tr>
        <w:tc>
          <w:tcPr>
            <w:tcW w:type="dxa" w:w="831"/>
            <w:vMerge/>
          </w:tcPr>
          <w:p/>
        </w:tc>
        <w:tc>
          <w:tcPr>
            <w:tcW w:type="dxa" w:w="1661"/>
          </w:tcPr>
          <w:p>
            <w:pPr>
              <w:pStyle w:val="null3"/>
            </w:pPr>
            <w:r>
              <w:rPr>
                <w:rFonts w:ascii="仿宋_GB2312" w:hAnsi="仿宋_GB2312" w:cs="仿宋_GB2312" w:eastAsia="仿宋_GB2312"/>
              </w:rPr>
              <w:t>项目计划进度</w:t>
            </w:r>
          </w:p>
        </w:tc>
        <w:tc>
          <w:tcPr>
            <w:tcW w:type="dxa" w:w="2492"/>
          </w:tcPr>
          <w:p>
            <w:pPr>
              <w:pStyle w:val="null3"/>
            </w:pPr>
            <w:r>
              <w:rPr>
                <w:rFonts w:ascii="仿宋_GB2312" w:hAnsi="仿宋_GB2312" w:cs="仿宋_GB2312" w:eastAsia="仿宋_GB2312"/>
              </w:rPr>
              <w:t>评委根据供应商提供的计划进度等综合评判。 项目计划进度内容详细时间进度安排合理，阶段分明，满足项目需求，得 6分； 项目计划进度内容简单，时间进度安排基本合理，基本满足项目需求，得 4分； 项目计划进度安排不合理，阶段不分明，不能满足项目需求，得 2分；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三.投标方案说明书docx.docx</w:t>
            </w:r>
          </w:p>
        </w:tc>
      </w:tr>
      <w:tr>
        <w:tc>
          <w:tcPr>
            <w:tcW w:type="dxa" w:w="831"/>
            <w:vMerge/>
          </w:tcPr>
          <w:p/>
        </w:tc>
        <w:tc>
          <w:tcPr>
            <w:tcW w:type="dxa" w:w="1661"/>
          </w:tcPr>
          <w:p>
            <w:pPr>
              <w:pStyle w:val="null3"/>
            </w:pPr>
            <w:r>
              <w:rPr>
                <w:rFonts w:ascii="仿宋_GB2312" w:hAnsi="仿宋_GB2312" w:cs="仿宋_GB2312" w:eastAsia="仿宋_GB2312"/>
              </w:rPr>
              <w:t>紧急情况或突发事件的处理措施预案</w:t>
            </w:r>
          </w:p>
        </w:tc>
        <w:tc>
          <w:tcPr>
            <w:tcW w:type="dxa" w:w="2492"/>
          </w:tcPr>
          <w:p>
            <w:pPr>
              <w:pStyle w:val="null3"/>
            </w:pPr>
            <w:r>
              <w:rPr>
                <w:rFonts w:ascii="仿宋_GB2312" w:hAnsi="仿宋_GB2312" w:cs="仿宋_GB2312" w:eastAsia="仿宋_GB2312"/>
              </w:rPr>
              <w:t>和预案和措施完善、科学、合理，针对性强的，得7分； 预案和措施基本合理，但细节待完善的，得5分； 预案和措施一般的，得3分； 预案和措施较差的，得1分； 未提供相关内容不得分。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三.投标方案说明书docx.docx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提供供应商2022年1月1日至今类似项目业绩，每一个得3分，最高得 12分。（时间以合同签订时间为准） 备注:响应文件中提供合同复印件加盖公章。</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三.投标方案说明书docx.docx</w:t>
            </w:r>
          </w:p>
          <w:p>
            <w:pPr>
              <w:pStyle w:val="null3"/>
            </w:pPr>
            <w:r>
              <w:rPr>
                <w:rFonts w:ascii="仿宋_GB2312" w:hAnsi="仿宋_GB2312" w:cs="仿宋_GB2312" w:eastAsia="仿宋_GB2312"/>
              </w:rPr>
              <w:t>附表1-3人员表.docx</w:t>
            </w:r>
          </w:p>
          <w:p>
            <w:pPr>
              <w:pStyle w:val="null3"/>
            </w:pPr>
            <w:r>
              <w:rPr>
                <w:rFonts w:ascii="仿宋_GB2312" w:hAnsi="仿宋_GB2312" w:cs="仿宋_GB2312" w:eastAsia="仿宋_GB2312"/>
              </w:rPr>
              <w:t>七.其他资料docx.docx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1.经初审合格的投标文件，其投标报价为有效投标价。对符合政策性扣减的有效投标报价进行政策性扣减，并依据扣减后的价格（评审价格）进行价格评审。 2.有效最低报价为基准价得30分。 3.按（有效最低报价/有效投标报价）×30的公式计算其得分。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四.商务及技术响应说明docx.docx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详见附件：三.投标方案说明书docx.docx</w:t>
      </w:r>
    </w:p>
    <w:p>
      <w:pPr>
        <w:pStyle w:val="null3"/>
        <w:ind w:firstLine="960"/>
      </w:pPr>
      <w:r>
        <w:rPr>
          <w:rFonts w:ascii="仿宋_GB2312" w:hAnsi="仿宋_GB2312" w:cs="仿宋_GB2312" w:eastAsia="仿宋_GB2312"/>
        </w:rPr>
        <w:t>详见附件：四.商务及技术响应说明docx.docx</w:t>
      </w:r>
    </w:p>
    <w:p>
      <w:pPr>
        <w:pStyle w:val="null3"/>
        <w:ind w:firstLine="960"/>
      </w:pPr>
      <w:r>
        <w:rPr>
          <w:rFonts w:ascii="仿宋_GB2312" w:hAnsi="仿宋_GB2312" w:cs="仿宋_GB2312" w:eastAsia="仿宋_GB2312"/>
        </w:rPr>
        <w:t>详见附件：五.供应商承诺书docx.docx</w:t>
      </w:r>
    </w:p>
    <w:p>
      <w:pPr>
        <w:pStyle w:val="null3"/>
        <w:ind w:firstLine="960"/>
      </w:pPr>
      <w:r>
        <w:rPr>
          <w:rFonts w:ascii="仿宋_GB2312" w:hAnsi="仿宋_GB2312" w:cs="仿宋_GB2312" w:eastAsia="仿宋_GB2312"/>
        </w:rPr>
        <w:t>详见附件：六.资格证明文件docx.docx</w:t>
      </w:r>
    </w:p>
    <w:p>
      <w:pPr>
        <w:pStyle w:val="null3"/>
        <w:ind w:firstLine="960"/>
      </w:pPr>
      <w:r>
        <w:rPr>
          <w:rFonts w:ascii="仿宋_GB2312" w:hAnsi="仿宋_GB2312" w:cs="仿宋_GB2312" w:eastAsia="仿宋_GB2312"/>
        </w:rPr>
        <w:t>详见附件：七.其他资料docx.docx</w:t>
      </w:r>
    </w:p>
    <w:p>
      <w:pPr>
        <w:pStyle w:val="null3"/>
        <w:ind w:firstLine="960"/>
      </w:pPr>
      <w:r>
        <w:rPr>
          <w:rFonts w:ascii="仿宋_GB2312" w:hAnsi="仿宋_GB2312" w:cs="仿宋_GB2312" w:eastAsia="仿宋_GB2312"/>
        </w:rPr>
        <w:t>详见附件：附件1.法定代表人身份证明及授权·docx.docx</w:t>
      </w:r>
    </w:p>
    <w:p>
      <w:pPr>
        <w:pStyle w:val="null3"/>
        <w:ind w:firstLine="960"/>
      </w:pPr>
      <w:r>
        <w:rPr>
          <w:rFonts w:ascii="仿宋_GB2312" w:hAnsi="仿宋_GB2312" w:cs="仿宋_GB2312" w:eastAsia="仿宋_GB2312"/>
        </w:rPr>
        <w:t>详见附件：附件2参加本次政府采购活动书面声明函.docx</w:t>
      </w:r>
    </w:p>
    <w:p>
      <w:pPr>
        <w:pStyle w:val="null3"/>
        <w:ind w:firstLine="960"/>
      </w:pPr>
      <w:r>
        <w:rPr>
          <w:rFonts w:ascii="仿宋_GB2312" w:hAnsi="仿宋_GB2312" w:cs="仿宋_GB2312" w:eastAsia="仿宋_GB2312"/>
        </w:rPr>
        <w:t>详见附件：附件3.履约能力函docx.docx</w:t>
      </w:r>
    </w:p>
    <w:p>
      <w:pPr>
        <w:pStyle w:val="null3"/>
        <w:ind w:firstLine="960"/>
      </w:pPr>
      <w:r>
        <w:rPr>
          <w:rFonts w:ascii="仿宋_GB2312" w:hAnsi="仿宋_GB2312" w:cs="仿宋_GB2312" w:eastAsia="仿宋_GB2312"/>
        </w:rPr>
        <w:t>详见附件：附件4.供应商企业关系关联承诺书docx.docx</w:t>
      </w:r>
    </w:p>
    <w:p>
      <w:pPr>
        <w:pStyle w:val="null3"/>
        <w:ind w:firstLine="960"/>
      </w:pPr>
      <w:r>
        <w:rPr>
          <w:rFonts w:ascii="仿宋_GB2312" w:hAnsi="仿宋_GB2312" w:cs="仿宋_GB2312" w:eastAsia="仿宋_GB2312"/>
        </w:rPr>
        <w:t>详见附件：附表1-3人员表.docx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