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版本号：KY2025-1-63020250623001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2024年度陕西省经营主体质量指数研究项目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KY2025-1-630</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2024年度陕西省经营主体质量指数研究项目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KY2025-1-630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2024年度陕西省经营主体质量指数研究项目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陕西省市场监督管理局2024年度陕西省经营主体质量指数研究项目，1项，具体内容详见采购文件第三章。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029-86138215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执行，不足伍仟按伍仟元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陕西省市场监督管理局2024年度陕西省经营主体质量指数研究项目，具体详见项目需求。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2024年度陕西省经营主体质量指数研究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标的名称：2024年度陕西省经营主体质量指数研究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、构建完善陕西经营主体发展质量评价指标体系。确保指标体系的科学性、系统性、可行性与可比性；完善各二级指标的测算方法、权重设定和数据标准化处理方式。</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、全省及各市（区）经营主体发展质量指数测算。采用科学的测算方法计算全省及</w:t>
            </w:r>
            <w:r>
              <w:rPr>
                <w:rFonts w:ascii="仿宋_GB2312" w:hAnsi="仿宋_GB2312" w:cs="仿宋_GB2312" w:eastAsia="仿宋_GB2312"/>
                <w:sz w:val="24"/>
                <w:color w:val="000000"/>
              </w:rPr>
              <w:t>12</w:t>
            </w:r>
            <w:r>
              <w:rPr>
                <w:rFonts w:ascii="仿宋_GB2312" w:hAnsi="仿宋_GB2312" w:cs="仿宋_GB2312" w:eastAsia="仿宋_GB2312"/>
                <w:sz w:val="24"/>
                <w:color w:val="000000"/>
              </w:rPr>
              <w:t>个市（区）的经营主体发展质量指数；生成分维度、分区域的指数结果。</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、经营主体发展质量综合评价与分析。全省经营主体发展质量状况评价总体分析；各市（区）经营主体发展质量比较分析。</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、问题诊断识别当前我省经营主体发展存在的主要问题。</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、提出促进我省经营主体高质量发展的政策建议。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中小企业声明函.docx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分项报价表.docx 标的清单 服务内容及服务要求应答表.docx 供应商资格证明文件.docx 响应函 供应商承诺书.docx 商务条款响应说明.docx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提出针对本项目的整体理解思路及建议，内容包括：①工作思路、②工作原则、③重难点分析。 方案各项内容全面详细、阐述条理清晰、对评审内容中的各项要求有详细描述及说明得12分，每有一项缺项扣4分，每有一项内容存在缺陷，扣2分，扣完为止。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提出针对本项目的总体服务方案，内容包括：①服务目标、②技术路线及方法、③工作程序、④工作成果、⑤重难点问题解决措施、⑥合理化建议。 方案各项内容全面详细、阐述条理清晰、对评审内容中的各项要求有详细描述及说明得24分，每有一项缺项扣4分，每有一项内容存在缺陷，扣2分，扣完为止。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提出针对本项目的进度保证措施，内容包括：①项目进度安排、②组织协调措施、③进度控制与管理。 方案各项内容全面详细、阐述条理清晰、对评审内容中的各项要求有详细描述及说明得12分，每有一项缺项扣4分，每有一项内容存在缺陷，扣2分，扣完为止。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提出针对本项目的人员配置方案，内容包括：①拟投入的服务团队人员结构、②人员分工及职责、③管理人员工作经验、④人员管理制度。 方案各项内容全面详细、阐述条理清晰、对评审内容中的各项要求有详细描述及说明得16分，每有一项缺项扣4分，每有一项内容存在缺陷，扣2分，扣完为止。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提出针对本项目的应急保障措施，内容包括：①人员安排及响应时间、②突发事件解决能力及措施。 方案各项内容全面详细、阐述条理清晰、对评审内容中的各项要求有详细描述及说明得8分，每有一项缺项扣4分，每有一项内容存在缺陷，扣2分，扣完为止。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后续服务方案及承诺</w:t>
            </w:r>
          </w:p>
        </w:tc>
        <w:tc>
          <w:tcPr>
            <w:tcW w:type="dxa" w:w="2492"/>
          </w:tcPr>
          <w:p>
            <w:pPr>
              <w:pStyle w:val="null3"/>
            </w:pPr>
            <w:r>
              <w:rPr>
                <w:rFonts w:ascii="仿宋_GB2312" w:hAnsi="仿宋_GB2312" w:cs="仿宋_GB2312" w:eastAsia="仿宋_GB2312"/>
              </w:rPr>
              <w:t>提出针对本项目的后续服务方案及承诺，内容包括： ①对于本项目后续实施服务有明确的服务范围、服务时限和服务措施等。 ②对本项目实施及协调过程有明确承诺，并承诺积极按照采购人提出的要求或意见改进工作，确保项目顺利实施。 方案各项内容全面详细、阐述条理清晰、对评审内容中的各项要求有详细描述及说明得8分，每有一项缺项扣4分，每有一项内容存在缺陷，扣2分，扣完为止。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供应商提供2022年1月1日至今（以合同签订日期为准）类似项目的业绩合同，每份计2分，满分10分。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