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版本号：ZX2025-04-11.20250623001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彩票销售数据封存保全公证服务项目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ZX2025-04-11.</w:t>
      </w:r>
      <w:r>
        <w:br/>
      </w:r>
      <w:r>
        <w:br/>
      </w:r>
      <w:r>
        <w:br/>
      </w:r>
    </w:p>
    <w:p>
      <w:pPr>
        <w:pStyle w:val="null3"/>
        <w:jc w:val="center"/>
        <w:outlineLvl w:val="5"/>
      </w:pPr>
      <w:r>
        <w:rPr>
          <w:rFonts w:ascii="仿宋_GB2312" w:hAnsi="仿宋_GB2312" w:cs="仿宋_GB2312" w:eastAsia="仿宋_GB2312"/>
          <w:sz w:val="15"/>
          <w:b/>
        </w:rPr>
        <w:t>陕西省福利彩票发行中心</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彩票销售数据封存保全公证服务项目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ZX2025-04-11.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彩票销售数据封存保全公证服务项目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 xml:space="preserve"> 我国社会福利事业的发展，主要的经济来源就是发行福利彩票。需要公证介入福利彩票发行数据保全，在出现质疑等情况时提供强有力的证据支持，从而促进福利彩票事业的发展，使更多弱势群体能够更好地分享社会发展的成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1、法定代表人授权委托书：法定代表人参加协商的，须提供法定代表人身份证；法定代表人授权本单位他人参加协商的，须提供法定代表人授权委托书。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3、公证机构执业证书：供应商具有省级司法行政机关颁发的有效的公证机构执业证书。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029-68742316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采购包1保证金金额：9,004.11元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按照采购文件、供应商响应文件及合同文本执行。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我国社会福利事业的发展，主要的经济来源就是发行福利彩票。需要公证介入福利彩票发行数据保全，在出现质疑等情况时提供强有力的证据支持，从而促进福利彩票事业的发展，使更多弱势群体能够更好地分享社会发展的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彩票销售数据封存保全公证服务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标的名称：彩票销售数据封存保全公证服务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一、项目背景</w:t>
            </w:r>
          </w:p>
          <w:p>
            <w:pPr>
              <w:pStyle w:val="null3"/>
            </w:pPr>
            <w:r>
              <w:rPr>
                <w:rFonts w:ascii="仿宋_GB2312" w:hAnsi="仿宋_GB2312" w:cs="仿宋_GB2312" w:eastAsia="仿宋_GB2312"/>
              </w:rPr>
              <w:t>中国福利彩票以筹集福彩公益金、帮助社会上众多生活在贫困、老幼孤残人士及社会弱势群体重新撑起一片新的天空为使命。改革开放以来，我国社会福利事业的发展，主要的经济来源就是发行福利彩票。需要公证介入福利彩票发行数据保全，在出现质疑等情况时提供强有力的证据支持，从而促进福利彩票事业的发展，使更多弱势群体能够更好地分享社会发展的成果。</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1、公证部门每天收集光盘的公证人员必须为国家认可的具有公证资质的2名公证员，在相互监督下进行光盘交接，并认真做好交接记录。</w:t>
            </w:r>
          </w:p>
          <w:p>
            <w:pPr>
              <w:pStyle w:val="null3"/>
            </w:pPr>
            <w:r>
              <w:rPr>
                <w:rFonts w:ascii="仿宋_GB2312" w:hAnsi="仿宋_GB2312" w:cs="仿宋_GB2312" w:eastAsia="仿宋_GB2312"/>
              </w:rPr>
              <w:t>2、正常开奖日，公证部门必须于当天20：30前到达省中心机房，监督和收集当期开奖玩法销售数据刻录的不可改写光盘。</w:t>
            </w:r>
          </w:p>
          <w:p>
            <w:pPr>
              <w:pStyle w:val="null3"/>
            </w:pPr>
            <w:r>
              <w:rPr>
                <w:rFonts w:ascii="仿宋_GB2312" w:hAnsi="仿宋_GB2312" w:cs="仿宋_GB2312" w:eastAsia="仿宋_GB2312"/>
              </w:rPr>
              <w:t>3、公证部门和省中心机房值班人员必须在当期玩法开奖前完成光盘交接手续，即当晚21：00中彩中心玩法摇奖前结束。</w:t>
            </w:r>
          </w:p>
          <w:p>
            <w:pPr>
              <w:pStyle w:val="null3"/>
            </w:pPr>
            <w:r>
              <w:rPr>
                <w:rFonts w:ascii="仿宋_GB2312" w:hAnsi="仿宋_GB2312" w:cs="仿宋_GB2312" w:eastAsia="仿宋_GB2312"/>
              </w:rPr>
              <w:t>4、公证部门在收到光盘前，必须核实光盘中彩票销售数据的玩法、期数的一致以及数据的真实性和正确性，并确认光盘在电脑中的可读取性。</w:t>
            </w:r>
          </w:p>
          <w:p>
            <w:pPr>
              <w:pStyle w:val="null3"/>
            </w:pPr>
            <w:r>
              <w:rPr>
                <w:rFonts w:ascii="仿宋_GB2312" w:hAnsi="仿宋_GB2312" w:cs="仿宋_GB2312" w:eastAsia="仿宋_GB2312"/>
              </w:rPr>
              <w:t>5、公证部门提供彩民对销售数据的验真义务。如出现第三方（包含彩民）对所持彩票信息有质疑，公证部门有义务通过对当玩法和当期光盘中彩票数据进行核实，并出具具有法律权威性的公证说明书。</w:t>
            </w:r>
          </w:p>
          <w:p>
            <w:pPr>
              <w:pStyle w:val="null3"/>
            </w:pPr>
            <w:r>
              <w:rPr>
                <w:rFonts w:ascii="仿宋_GB2312" w:hAnsi="仿宋_GB2312" w:cs="仿宋_GB2312" w:eastAsia="仿宋_GB2312"/>
              </w:rPr>
              <w:t>6、以上游戏销售数据光盘保全自接收之日起保存期限不少于60个月。</w:t>
            </w:r>
          </w:p>
          <w:p>
            <w:pPr>
              <w:pStyle w:val="null3"/>
            </w:pPr>
            <w:r>
              <w:rPr>
                <w:rFonts w:ascii="仿宋_GB2312" w:hAnsi="仿宋_GB2312" w:cs="仿宋_GB2312" w:eastAsia="仿宋_GB2312"/>
              </w:rPr>
              <w:t>7、因政策调整而导致游戏数据保全公证增减项目，双方具体协商公证费用。</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1、为本项目配备专门的笔记本电脑、消磁柜、档案柜等，保障该项目各项硬件设施。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陕西省福利彩票发行中心指定地点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合同签订生效后三个月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合同签订生效后六个月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合同签订生效后九个月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合同签订生效后一年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1、参照《财政部关于进一步加强政府采购需求和履约验收管理的指导意见》(财库(2016) 205号，经采购人组织验收。 2、①供应商应按采购文件规定及响应文件承诺的技术性能、技术要求、质量标准向采购人提供服务；若无特殊说明，则按国家有关部门最新颁布的标准及规范为准。 ②供应商应保证其提供的服务是全面和规范的，并完全符合采购文件及响应文件。如因供应商提供的服务有瑕疵造成采购人损失的，所需费用由供应商承担。 ③合同履行期内，供应商应对所提供服务出现的质量及安全问题负责处理解决并承担一切费用。</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3.4.1、质量保修范围和保修期： 自项目实施之日起至项目结束。 3.4.2、本项目3.3.4支付约定受系统固定格式限制，付款方式可以根据实际情况双方另行协商支付。 3.4.3、为顺利推进政府采购电子化交易平台应用工作，供应商需要在线提交所有通过电子化交易平台实施的政府采购项目的响应文件，同时，线下提交贰份纸质版响应文件并密封。若线上电子响应文件与纸质响应文件不一致的，以线上电子响应文件为准。 线下递交文件截止时间：详见本项目采购公告响应文件提交递交截止时间；线下递交文件地点：西安市莲湖区环城西路南段元晟合中心6层。 3.4.4、协商保证金注意事项：（1）协商保证金须从供应商户名支付，如从个人户名或非供应商户名支付，将被拒绝，视为自动放弃投标权利（该个人是供应商的情形除外）；以保函形式交纳协商保证金的，供应商应在响应截止时间前将保函扫描成清晰的PDF文件，发送至邮箱2559647209@qq.com（邮件命名：项目编号）。保函必须由具有开具投标保函资格的单位开具；若供应商违约，开具保函单位承担连带责任；（2）协商保证金的提交金额、时间不满足采购文件要求的，投标无效；（3）协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公证机构执业证书</w:t>
            </w:r>
          </w:p>
        </w:tc>
        <w:tc>
          <w:tcPr>
            <w:tcW w:type="dxa" w:w="3322"/>
          </w:tcPr>
          <w:p>
            <w:pPr>
              <w:pStyle w:val="null3"/>
            </w:pPr>
            <w:r>
              <w:rPr>
                <w:rFonts w:ascii="仿宋_GB2312" w:hAnsi="仿宋_GB2312" w:cs="仿宋_GB2312" w:eastAsia="仿宋_GB2312"/>
              </w:rPr>
              <w:t>供应商具有省级司法行政机关颁发的有效的公证机构执业证书。</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响应文件按照单一来源采购文件规定要求签署、盖章的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满足本单一来源采购文件中实质性条款（服务期限、服务地点、支付约定、质量保修范围和保修期）要求的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无法律、法规和单一来源采购文件规定的其他无效情形</w:t>
            </w:r>
          </w:p>
        </w:tc>
        <w:tc>
          <w:tcPr>
            <w:tcW w:type="dxa" w:w="1661"/>
          </w:tcPr>
          <w:p>
            <w:pPr>
              <w:pStyle w:val="null3"/>
            </w:pPr>
            <w:r>
              <w:rPr>
                <w:rFonts w:ascii="仿宋_GB2312" w:hAnsi="仿宋_GB2312" w:cs="仿宋_GB2312" w:eastAsia="仿宋_GB2312"/>
              </w:rPr>
              <w:t>5服务响应与偏离表.docx 11供应商认为需提供的其他资料.docx 6供应商基本情况表.docx 4承诺书.docx 中小企业声明函 残疾人福利性单位声明函 1分项价格表.docx 7服务方案.docx 8供应商相关专利、专有技术情况说明.docx 9同类项目合同价格说明.docx 10采购标的成本说明.docx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详见附件：7服务方案.docx</w:t>
      </w:r>
    </w:p>
    <w:p>
      <w:pPr>
        <w:pStyle w:val="null3"/>
        <w:ind w:firstLine="960"/>
      </w:pPr>
      <w:r>
        <w:rPr>
          <w:rFonts w:ascii="仿宋_GB2312" w:hAnsi="仿宋_GB2312" w:cs="仿宋_GB2312" w:eastAsia="仿宋_GB2312"/>
        </w:rPr>
        <w:t>详见附件：8供应商相关专利、专有技术情况说明.docx</w:t>
      </w:r>
    </w:p>
    <w:p>
      <w:pPr>
        <w:pStyle w:val="null3"/>
        <w:ind w:firstLine="960"/>
      </w:pPr>
      <w:r>
        <w:rPr>
          <w:rFonts w:ascii="仿宋_GB2312" w:hAnsi="仿宋_GB2312" w:cs="仿宋_GB2312" w:eastAsia="仿宋_GB2312"/>
        </w:rPr>
        <w:t>详见附件：9同类项目合同价格说明.docx</w:t>
      </w:r>
    </w:p>
    <w:p>
      <w:pPr>
        <w:pStyle w:val="null3"/>
        <w:ind w:firstLine="960"/>
      </w:pPr>
      <w:r>
        <w:rPr>
          <w:rFonts w:ascii="仿宋_GB2312" w:hAnsi="仿宋_GB2312" w:cs="仿宋_GB2312" w:eastAsia="仿宋_GB2312"/>
        </w:rPr>
        <w:t>详见附件：10采购标的成本说明.docx</w:t>
      </w:r>
    </w:p>
    <w:p>
      <w:pPr>
        <w:pStyle w:val="null3"/>
        <w:ind w:firstLine="960"/>
      </w:pPr>
      <w:r>
        <w:rPr>
          <w:rFonts w:ascii="仿宋_GB2312" w:hAnsi="仿宋_GB2312" w:cs="仿宋_GB2312" w:eastAsia="仿宋_GB2312"/>
        </w:rPr>
        <w:t>详见附件：11供应商认为需提供的其他资料.docx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