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版本号：【KRDL】K4-250609920250623002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2025年教职工体检服务采购项目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【KRDL】K4-2506099</w:t>
      </w:r>
      <w:r>
        <w:br/>
      </w:r>
      <w:r>
        <w:br/>
      </w:r>
      <w:r>
        <w:br/>
      </w:r>
    </w:p>
    <w:p>
      <w:pPr>
        <w:pStyle w:val="null3"/>
        <w:jc w:val="center"/>
        <w:outlineLvl w:val="2"/>
      </w:pPr>
      <w:r>
        <w:rPr>
          <w:rFonts w:ascii="仿宋_GB2312" w:hAnsi="仿宋_GB2312" w:cs="仿宋_GB2312" w:eastAsia="仿宋_GB2312"/>
          <w:sz w:val="28"/>
          <w:b/>
        </w:rPr>
        <w:t>西安工程大学</w:t>
      </w:r>
    </w:p>
    <w:p>
      <w:pPr>
        <w:pStyle w:val="null3"/>
        <w:jc w:val="center"/>
        <w:outlineLvl w:val="2"/>
      </w:pPr>
      <w:r>
        <w:rPr>
          <w:rFonts w:ascii="仿宋_GB2312" w:hAnsi="仿宋_GB2312" w:cs="仿宋_GB2312" w:eastAsia="仿宋_GB2312"/>
          <w:sz w:val="28"/>
          <w:b/>
        </w:rPr>
        <w:t>开瑞项目管理有限公司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2025年06月23日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开瑞项目管理有限公司</w:t>
      </w:r>
      <w:r>
        <w:rPr>
          <w:rFonts w:ascii="仿宋_GB2312" w:hAnsi="仿宋_GB2312" w:cs="仿宋_GB2312" w:eastAsia="仿宋_GB2312"/>
        </w:rPr>
        <w:t>（以下简称“代理机构”）受</w:t>
      </w:r>
      <w:r>
        <w:rPr>
          <w:rFonts w:ascii="仿宋_GB2312" w:hAnsi="仿宋_GB2312" w:cs="仿宋_GB2312" w:eastAsia="仿宋_GB2312"/>
        </w:rPr>
        <w:t>西安工程大学</w:t>
      </w:r>
      <w:r>
        <w:rPr>
          <w:rFonts w:ascii="仿宋_GB2312" w:hAnsi="仿宋_GB2312" w:cs="仿宋_GB2312" w:eastAsia="仿宋_GB2312"/>
        </w:rPr>
        <w:t>委托，拟对</w:t>
      </w:r>
      <w:r>
        <w:rPr>
          <w:rFonts w:ascii="仿宋_GB2312" w:hAnsi="仿宋_GB2312" w:cs="仿宋_GB2312" w:eastAsia="仿宋_GB2312"/>
        </w:rPr>
        <w:t>2025年教职工体检服务采购项目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【KRDL】K4-2506099</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2025年教职工体检服务采购项目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西安工程大学拟采购专业医疗检测机构对在职教职工和离退休教职工进行体检服务，拟体检人员数量为2537人（其中：男性体检人数预计1172人、女性体检人数预计1270人、高层次体检人才预计95人），体检时间拟定于2025年7月上旬--2025年11月上旬，具体根据学校安排时间确定，最终结算以实际体检人数为准，具体内容及要求详见竞争性磋商文件。</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1、主体资格：供应商为向采购人提供相关服务的法人或其他组织；</w:t>
      </w:r>
    </w:p>
    <w:p>
      <w:pPr>
        <w:pStyle w:val="null3"/>
      </w:pPr>
      <w:r>
        <w:rPr>
          <w:rFonts w:ascii="仿宋_GB2312" w:hAnsi="仿宋_GB2312" w:cs="仿宋_GB2312" w:eastAsia="仿宋_GB2312"/>
        </w:rPr>
        <w:t>2、信用要求：截止至响应文件递交截止时间之前，供应商未被“信用中国”网站列入失信被执行人、重大税收违法失信主体名单，未被“中国政府采购网”网站列入政府采购严重违法失信行为记录名单；</w:t>
      </w:r>
    </w:p>
    <w:p>
      <w:pPr>
        <w:pStyle w:val="null3"/>
      </w:pPr>
      <w:r>
        <w:rPr>
          <w:rFonts w:ascii="仿宋_GB2312" w:hAnsi="仿宋_GB2312" w:cs="仿宋_GB2312" w:eastAsia="仿宋_GB2312"/>
        </w:rPr>
        <w:t>3、磋商代表：供应商应授权合法的人员参加本项目采购活动全过程；</w:t>
      </w:r>
    </w:p>
    <w:p>
      <w:pPr>
        <w:pStyle w:val="null3"/>
      </w:pPr>
      <w:r>
        <w:rPr>
          <w:rFonts w:ascii="仿宋_GB2312" w:hAnsi="仿宋_GB2312" w:cs="仿宋_GB2312" w:eastAsia="仿宋_GB2312"/>
        </w:rPr>
        <w:t>4、供应商资质要求：供应商应具备合法有效的《医疗机构执业许可证》及《放射诊疗许可证》；</w:t>
      </w:r>
    </w:p>
    <w:p>
      <w:pPr>
        <w:pStyle w:val="null3"/>
      </w:pPr>
      <w:r>
        <w:rPr>
          <w:rFonts w:ascii="仿宋_GB2312" w:hAnsi="仿宋_GB2312" w:cs="仿宋_GB2312" w:eastAsia="仿宋_GB2312"/>
        </w:rPr>
        <w:t>5、是否面向中小企业采购：本项目不专门面向中小企业采购。</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西安工程大学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金花南路19号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029-81369288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开瑞项目管理有限公司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陕西省西安市莲湖区高新二路1号招商银行大厦19层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姚瑶、代光艳、刘如拉、贾亚妮、王昭、刘昆、张晨、王森</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029-89581863、15229797656、17302920968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采购包1：1,500,000.00元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采购包1保证金金额：20,004.00元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开户名称：开瑞项目管理有限公司</w:t>
            </w:r>
          </w:p>
          <w:p>
            <w:pPr>
              <w:pStyle w:val="null3"/>
            </w:pPr>
            <w:r>
              <w:rPr>
                <w:rFonts w:ascii="仿宋_GB2312" w:hAnsi="仿宋_GB2312" w:cs="仿宋_GB2312" w:eastAsia="仿宋_GB2312"/>
              </w:rPr>
              <w:t>开户银行：招商银行股份有限公司西安分行营业部</w:t>
            </w:r>
          </w:p>
          <w:p>
            <w:pPr>
              <w:pStyle w:val="null3"/>
            </w:pPr>
            <w:r>
              <w:rPr>
                <w:rFonts w:ascii="仿宋_GB2312" w:hAnsi="仿宋_GB2312" w:cs="仿宋_GB2312" w:eastAsia="仿宋_GB2312"/>
              </w:rPr>
              <w:t>银行账号：129905724510703</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代理服务费收费标准：参照国家计委颁发的《招标代理服务收费管理暂行办法》（计价格[2002]1980号）和国家发展改革委员会办公厅颁发的《关于招标代理服务收费有关问题的通知》（发改办价格[2003] 857号）的有关规定向采购代理机构一次付清代理服务费。 备注：供应商在缴纳保证金或服务费时请备注项目编号+代理服务费/投标保证金</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西安工程大学</w:t>
      </w:r>
      <w:r>
        <w:rPr>
          <w:rFonts w:ascii="仿宋_GB2312" w:hAnsi="仿宋_GB2312" w:cs="仿宋_GB2312" w:eastAsia="仿宋_GB2312"/>
        </w:rPr>
        <w:t>和</w:t>
      </w:r>
      <w:r>
        <w:rPr>
          <w:rFonts w:ascii="仿宋_GB2312" w:hAnsi="仿宋_GB2312" w:cs="仿宋_GB2312" w:eastAsia="仿宋_GB2312"/>
        </w:rPr>
        <w:t>开瑞项目管理有限公司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西安工程大学</w:t>
      </w:r>
      <w:r>
        <w:rPr>
          <w:rFonts w:ascii="仿宋_GB2312" w:hAnsi="仿宋_GB2312" w:cs="仿宋_GB2312" w:eastAsia="仿宋_GB2312"/>
        </w:rPr>
        <w:t>负责解释。除上述磋商文件内容，其他内容由</w:t>
      </w:r>
      <w:r>
        <w:rPr>
          <w:rFonts w:ascii="仿宋_GB2312" w:hAnsi="仿宋_GB2312" w:cs="仿宋_GB2312" w:eastAsia="仿宋_GB2312"/>
        </w:rPr>
        <w:t>开瑞项目管理有限公司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西安工程大学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开瑞项目管理有限公司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详见拟签订的合同文本。</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开瑞项目管理有限公司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开瑞项目管理有限公司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开瑞项目管理有限公司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联系人：代光艳、刘如拉</w:t>
      </w:r>
    </w:p>
    <w:p>
      <w:pPr>
        <w:pStyle w:val="null3"/>
      </w:pPr>
      <w:r>
        <w:rPr>
          <w:rFonts w:ascii="仿宋_GB2312" w:hAnsi="仿宋_GB2312" w:cs="仿宋_GB2312" w:eastAsia="仿宋_GB2312"/>
        </w:rPr>
        <w:t>联系电话：029-89581863、17302920968</w:t>
      </w:r>
    </w:p>
    <w:p>
      <w:pPr>
        <w:pStyle w:val="null3"/>
      </w:pPr>
      <w:r>
        <w:rPr>
          <w:rFonts w:ascii="仿宋_GB2312" w:hAnsi="仿宋_GB2312" w:cs="仿宋_GB2312" w:eastAsia="仿宋_GB2312"/>
        </w:rPr>
        <w:t>地址：陕西省西安市莲湖区高新二路1号招商银行大厦19层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工程大学拟采购专业医疗检测机构对在职教职工和离退休教职工进行体检服务，拟体检人员数量为2537人（其中：男性体检人数预计1172人、女性体检人数预计1270人、高层次体检人才预计95人），体检时间拟定于2025年7月上旬--2025年11月上旬，具体根据学校安排时间确定，最终结算以实际体检人数为准，具体内容及要求详见竞争性磋商文件。</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1,500,000.00</w:t>
      </w:r>
    </w:p>
    <w:p>
      <w:pPr>
        <w:pStyle w:val="null3"/>
      </w:pPr>
      <w:r>
        <w:rPr>
          <w:rFonts w:ascii="仿宋_GB2312" w:hAnsi="仿宋_GB2312" w:cs="仿宋_GB2312" w:eastAsia="仿宋_GB2312"/>
        </w:rPr>
        <w:t>采购包最高限价（元）: 1,500,000.00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2025年教职工体检服务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1,500,000.00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标的名称：2025年教职工体检服务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82"/>
              <w:jc w:val="both"/>
            </w:pPr>
            <w:r>
              <w:rPr>
                <w:rFonts w:ascii="仿宋_GB2312" w:hAnsi="仿宋_GB2312" w:cs="仿宋_GB2312" w:eastAsia="仿宋_GB2312"/>
                <w:sz w:val="24"/>
                <w:b/>
              </w:rPr>
              <w:t>（一）总体要求</w:t>
            </w:r>
          </w:p>
          <w:p>
            <w:pPr>
              <w:pStyle w:val="null3"/>
              <w:ind w:firstLine="480"/>
              <w:jc w:val="both"/>
            </w:pPr>
            <w:r>
              <w:rPr>
                <w:rFonts w:ascii="仿宋_GB2312" w:hAnsi="仿宋_GB2312" w:cs="仿宋_GB2312" w:eastAsia="仿宋_GB2312"/>
                <w:sz w:val="24"/>
              </w:rPr>
              <w:t>西安工程大学拟采购专业医疗检测机构对在职教职工和离退休教职工进行体检服务，拟体检人员数量为</w:t>
            </w:r>
            <w:r>
              <w:rPr>
                <w:rFonts w:ascii="仿宋_GB2312" w:hAnsi="仿宋_GB2312" w:cs="仿宋_GB2312" w:eastAsia="仿宋_GB2312"/>
                <w:sz w:val="24"/>
              </w:rPr>
              <w:t>2537</w:t>
            </w:r>
            <w:r>
              <w:rPr>
                <w:rFonts w:ascii="仿宋_GB2312" w:hAnsi="仿宋_GB2312" w:cs="仿宋_GB2312" w:eastAsia="仿宋_GB2312"/>
                <w:sz w:val="24"/>
              </w:rPr>
              <w:t>人（其中：男性体检人数预计</w:t>
            </w:r>
            <w:r>
              <w:rPr>
                <w:rFonts w:ascii="仿宋_GB2312" w:hAnsi="仿宋_GB2312" w:cs="仿宋_GB2312" w:eastAsia="仿宋_GB2312"/>
                <w:sz w:val="24"/>
              </w:rPr>
              <w:t>1172</w:t>
            </w:r>
            <w:r>
              <w:rPr>
                <w:rFonts w:ascii="仿宋_GB2312" w:hAnsi="仿宋_GB2312" w:cs="仿宋_GB2312" w:eastAsia="仿宋_GB2312"/>
                <w:sz w:val="24"/>
              </w:rPr>
              <w:t>人、女性体检人数预计</w:t>
            </w:r>
            <w:r>
              <w:rPr>
                <w:rFonts w:ascii="仿宋_GB2312" w:hAnsi="仿宋_GB2312" w:cs="仿宋_GB2312" w:eastAsia="仿宋_GB2312"/>
                <w:sz w:val="24"/>
              </w:rPr>
              <w:t>1270</w:t>
            </w:r>
            <w:r>
              <w:rPr>
                <w:rFonts w:ascii="仿宋_GB2312" w:hAnsi="仿宋_GB2312" w:cs="仿宋_GB2312" w:eastAsia="仿宋_GB2312"/>
                <w:sz w:val="24"/>
              </w:rPr>
              <w:t>人、高层次体检人才预计</w:t>
            </w:r>
            <w:r>
              <w:rPr>
                <w:rFonts w:ascii="仿宋_GB2312" w:hAnsi="仿宋_GB2312" w:cs="仿宋_GB2312" w:eastAsia="仿宋_GB2312"/>
                <w:sz w:val="24"/>
              </w:rPr>
              <w:t>95</w:t>
            </w:r>
            <w:r>
              <w:rPr>
                <w:rFonts w:ascii="仿宋_GB2312" w:hAnsi="仿宋_GB2312" w:cs="仿宋_GB2312" w:eastAsia="仿宋_GB2312"/>
                <w:sz w:val="24"/>
              </w:rPr>
              <w:t>人），</w:t>
            </w:r>
            <w:r>
              <w:rPr>
                <w:rFonts w:ascii="仿宋_GB2312" w:hAnsi="仿宋_GB2312" w:cs="仿宋_GB2312" w:eastAsia="仿宋_GB2312"/>
                <w:sz w:val="24"/>
              </w:rPr>
              <w:t>体检时间拟定于</w:t>
            </w:r>
            <w:r>
              <w:rPr>
                <w:rFonts w:ascii="仿宋_GB2312" w:hAnsi="仿宋_GB2312" w:cs="仿宋_GB2312" w:eastAsia="仿宋_GB2312"/>
                <w:sz w:val="24"/>
              </w:rPr>
              <w:t>2025年7月上旬--2025年11月上旬，具体根据学校安排时间确定</w:t>
            </w:r>
            <w:r>
              <w:rPr>
                <w:rFonts w:ascii="仿宋_GB2312" w:hAnsi="仿宋_GB2312" w:cs="仿宋_GB2312" w:eastAsia="仿宋_GB2312"/>
                <w:sz w:val="24"/>
              </w:rPr>
              <w:t>，最终结算以实际体检人数为准，超出预算部分由供应商自行解决。</w:t>
            </w:r>
          </w:p>
          <w:p>
            <w:pPr>
              <w:pStyle w:val="null3"/>
              <w:ind w:firstLine="482"/>
              <w:jc w:val="both"/>
            </w:pPr>
            <w:r>
              <w:rPr>
                <w:rFonts w:ascii="仿宋_GB2312" w:hAnsi="仿宋_GB2312" w:cs="仿宋_GB2312" w:eastAsia="仿宋_GB2312"/>
                <w:sz w:val="24"/>
                <w:b/>
              </w:rPr>
              <w:t>二、体检服务内容及要求</w:t>
            </w:r>
          </w:p>
          <w:p>
            <w:pPr>
              <w:pStyle w:val="null3"/>
              <w:ind w:firstLine="482"/>
              <w:jc w:val="both"/>
            </w:pPr>
            <w:r>
              <w:rPr>
                <w:rFonts w:ascii="仿宋_GB2312" w:hAnsi="仿宋_GB2312" w:cs="仿宋_GB2312" w:eastAsia="仿宋_GB2312"/>
                <w:sz w:val="24"/>
                <w:b/>
              </w:rPr>
              <w:t>（一）基础体检清单项</w:t>
            </w:r>
          </w:p>
          <w:tbl>
            <w:tblPr>
              <w:tblBorders>
                <w:top w:val="none" w:color="000000" w:sz="4"/>
                <w:left w:val="none" w:color="000000" w:sz="4"/>
                <w:bottom w:val="none" w:color="000000" w:sz="4"/>
                <w:right w:val="none" w:color="000000" w:sz="4"/>
                <w:insideH w:val="none"/>
                <w:insideV w:val="none"/>
              </w:tblBorders>
            </w:tblPr>
            <w:tblGrid>
              <w:gridCol w:w="166"/>
              <w:gridCol w:w="319"/>
              <w:gridCol w:w="1604"/>
              <w:gridCol w:w="227"/>
              <w:gridCol w:w="227"/>
            </w:tblGrid>
            <w:tr>
              <w:tc>
                <w:tcPr>
                  <w:tcW w:type="dxa" w:w="16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序号</w:t>
                  </w:r>
                </w:p>
              </w:tc>
              <w:tc>
                <w:tcPr>
                  <w:tcW w:type="dxa" w:w="31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类别</w:t>
                  </w:r>
                </w:p>
              </w:tc>
              <w:tc>
                <w:tcPr>
                  <w:tcW w:type="dxa" w:w="160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项目</w:t>
                  </w:r>
                </w:p>
              </w:tc>
              <w:tc>
                <w:tcPr>
                  <w:tcW w:type="dxa" w:w="22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男</w:t>
                  </w:r>
                </w:p>
              </w:tc>
              <w:tc>
                <w:tcPr>
                  <w:tcW w:type="dxa" w:w="22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女</w:t>
                  </w:r>
                </w:p>
              </w:tc>
            </w:tr>
            <w:tr>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319"/>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实验室常规检测</w:t>
                  </w:r>
                </w:p>
                <w:p>
                  <w:pPr>
                    <w:pStyle w:val="null3"/>
                    <w:jc w:val="center"/>
                  </w:pPr>
                  <w:r>
                    <w:rPr>
                      <w:rFonts w:ascii="仿宋_GB2312" w:hAnsi="仿宋_GB2312" w:cs="仿宋_GB2312" w:eastAsia="仿宋_GB2312"/>
                      <w:sz w:val="24"/>
                    </w:rPr>
                    <w:t>项目</w:t>
                  </w:r>
                </w:p>
              </w:tc>
              <w:tc>
                <w:tcPr>
                  <w:tcW w:type="dxa" w:w="16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肾功能</w:t>
                  </w:r>
                  <w:r>
                    <w:rPr>
                      <w:rFonts w:ascii="仿宋_GB2312" w:hAnsi="仿宋_GB2312" w:cs="仿宋_GB2312" w:eastAsia="仿宋_GB2312"/>
                      <w:sz w:val="24"/>
                    </w:rPr>
                    <w:t>4项（尿素、肌酐、尿酸、胱抑素C）</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r>
            <w:tr>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319"/>
                  <w:vMerge/>
                  <w:tcBorders>
                    <w:top w:val="none" w:color="000000" w:sz="4"/>
                    <w:left w:val="none" w:color="000000" w:sz="4"/>
                    <w:bottom w:val="none" w:color="000000" w:sz="4"/>
                    <w:right w:val="single" w:color="000000" w:sz="4"/>
                  </w:tcBorders>
                </w:tcPr>
                <w:p/>
              </w:tc>
              <w:tc>
                <w:tcPr>
                  <w:tcW w:type="dxa" w:w="16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肝功能十三项（总、直、间胆红素，总蛋白、白蛋白、球蛋白、白球比、丙氨酸氨基转移酶、天门冬氨酸氨基转移酶、谷草</w:t>
                  </w:r>
                  <w:r>
                    <w:rPr>
                      <w:rFonts w:ascii="仿宋_GB2312" w:hAnsi="仿宋_GB2312" w:cs="仿宋_GB2312" w:eastAsia="仿宋_GB2312"/>
                      <w:sz w:val="24"/>
                    </w:rPr>
                    <w:t>/谷丙、R-谷氨酰基转移酶、碱性磷酸酶、总胆汁酸）</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r>
            <w:tr>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319"/>
                  <w:vMerge/>
                  <w:tcBorders>
                    <w:top w:val="none" w:color="000000" w:sz="4"/>
                    <w:left w:val="none" w:color="000000" w:sz="4"/>
                    <w:bottom w:val="none" w:color="000000" w:sz="4"/>
                    <w:right w:val="single" w:color="000000" w:sz="4"/>
                  </w:tcBorders>
                </w:tcPr>
                <w:p/>
              </w:tc>
              <w:tc>
                <w:tcPr>
                  <w:tcW w:type="dxa" w:w="16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血脂</w:t>
                  </w:r>
                  <w:r>
                    <w:rPr>
                      <w:rFonts w:ascii="仿宋_GB2312" w:hAnsi="仿宋_GB2312" w:cs="仿宋_GB2312" w:eastAsia="仿宋_GB2312"/>
                      <w:sz w:val="24"/>
                    </w:rPr>
                    <w:t>4项（总胆固醇、甘油三酯、高密、低密脂蛋白）</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r>
            <w:tr>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319"/>
                  <w:vMerge/>
                  <w:tcBorders>
                    <w:top w:val="none" w:color="000000" w:sz="4"/>
                    <w:left w:val="none" w:color="000000" w:sz="4"/>
                    <w:bottom w:val="none" w:color="000000" w:sz="4"/>
                    <w:right w:val="single" w:color="000000" w:sz="4"/>
                  </w:tcBorders>
                </w:tcPr>
                <w:p/>
              </w:tc>
              <w:tc>
                <w:tcPr>
                  <w:tcW w:type="dxa" w:w="16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空腹血糖</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r>
            <w:tr>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319"/>
                  <w:vMerge/>
                  <w:tcBorders>
                    <w:top w:val="none" w:color="000000" w:sz="4"/>
                    <w:left w:val="none" w:color="000000" w:sz="4"/>
                    <w:bottom w:val="none" w:color="000000" w:sz="4"/>
                    <w:right w:val="single" w:color="000000" w:sz="4"/>
                  </w:tcBorders>
                </w:tcPr>
                <w:p/>
              </w:tc>
              <w:tc>
                <w:tcPr>
                  <w:tcW w:type="dxa" w:w="16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血常规</w:t>
                  </w:r>
                  <w:r>
                    <w:rPr>
                      <w:rFonts w:ascii="仿宋_GB2312" w:hAnsi="仿宋_GB2312" w:cs="仿宋_GB2312" w:eastAsia="仿宋_GB2312"/>
                      <w:sz w:val="24"/>
                    </w:rPr>
                    <w:t>5分类</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r>
            <w:tr>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319"/>
                  <w:vMerge/>
                  <w:tcBorders>
                    <w:top w:val="none" w:color="000000" w:sz="4"/>
                    <w:left w:val="none" w:color="000000" w:sz="4"/>
                    <w:bottom w:val="none" w:color="000000" w:sz="4"/>
                    <w:right w:val="single" w:color="000000" w:sz="4"/>
                  </w:tcBorders>
                </w:tcPr>
                <w:p/>
              </w:tc>
              <w:tc>
                <w:tcPr>
                  <w:tcW w:type="dxa" w:w="16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尿常规八项</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r>
            <w:tr>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c>
                <w:tcPr>
                  <w:tcW w:type="dxa" w:w="319"/>
                  <w:vMerge/>
                  <w:tcBorders>
                    <w:top w:val="none" w:color="000000" w:sz="4"/>
                    <w:left w:val="none" w:color="000000" w:sz="4"/>
                    <w:bottom w:val="none" w:color="000000" w:sz="4"/>
                    <w:right w:val="single" w:color="000000" w:sz="4"/>
                  </w:tcBorders>
                </w:tcPr>
                <w:p/>
              </w:tc>
              <w:tc>
                <w:tcPr>
                  <w:tcW w:type="dxa" w:w="16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心肌酶四项</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r>
            <w:tr>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c>
                <w:tcPr>
                  <w:tcW w:type="dxa" w:w="319"/>
                  <w:vMerge/>
                  <w:tcBorders>
                    <w:top w:val="none" w:color="000000" w:sz="4"/>
                    <w:left w:val="none" w:color="000000" w:sz="4"/>
                    <w:bottom w:val="none" w:color="000000" w:sz="4"/>
                    <w:right w:val="single" w:color="000000" w:sz="4"/>
                  </w:tcBorders>
                </w:tcPr>
                <w:p/>
              </w:tc>
              <w:tc>
                <w:tcPr>
                  <w:tcW w:type="dxa" w:w="16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碳</w:t>
                  </w:r>
                  <w:r>
                    <w:rPr>
                      <w:rFonts w:ascii="仿宋_GB2312" w:hAnsi="仿宋_GB2312" w:cs="仿宋_GB2312" w:eastAsia="仿宋_GB2312"/>
                      <w:sz w:val="24"/>
                    </w:rPr>
                    <w:t>14呼吸试验</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r>
            <w:tr>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w:t>
                  </w:r>
                </w:p>
              </w:tc>
              <w:tc>
                <w:tcPr>
                  <w:tcW w:type="dxa" w:w="319"/>
                  <w:vMerge/>
                  <w:tcBorders>
                    <w:top w:val="none" w:color="000000" w:sz="4"/>
                    <w:left w:val="none" w:color="000000" w:sz="4"/>
                    <w:bottom w:val="none" w:color="000000" w:sz="4"/>
                    <w:right w:val="single" w:color="000000" w:sz="4"/>
                  </w:tcBorders>
                </w:tcPr>
                <w:p/>
              </w:tc>
              <w:tc>
                <w:tcPr>
                  <w:tcW w:type="dxa" w:w="16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甲胎蛋白（定量）</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r>
            <w:tr>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319"/>
                  <w:vMerge/>
                  <w:tcBorders>
                    <w:top w:val="none" w:color="000000" w:sz="4"/>
                    <w:left w:val="none" w:color="000000" w:sz="4"/>
                    <w:bottom w:val="none" w:color="000000" w:sz="4"/>
                    <w:right w:val="single" w:color="000000" w:sz="4"/>
                  </w:tcBorders>
                </w:tcPr>
                <w:p/>
              </w:tc>
              <w:tc>
                <w:tcPr>
                  <w:tcW w:type="dxa" w:w="16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癌胚抗原（定量）</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r>
            <w:tr>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w:t>
                  </w:r>
                </w:p>
              </w:tc>
              <w:tc>
                <w:tcPr>
                  <w:tcW w:type="dxa" w:w="319"/>
                  <w:vMerge/>
                  <w:tcBorders>
                    <w:top w:val="none" w:color="000000" w:sz="4"/>
                    <w:left w:val="none" w:color="000000" w:sz="4"/>
                    <w:bottom w:val="none" w:color="000000" w:sz="4"/>
                    <w:right w:val="single" w:color="000000" w:sz="4"/>
                  </w:tcBorders>
                </w:tcPr>
                <w:p/>
              </w:tc>
              <w:tc>
                <w:tcPr>
                  <w:tcW w:type="dxa" w:w="16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血同型半胱氨酸</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r>
            <w:tr>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w:t>
                  </w:r>
                </w:p>
              </w:tc>
              <w:tc>
                <w:tcPr>
                  <w:tcW w:type="dxa" w:w="31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功能科</w:t>
                  </w:r>
                </w:p>
                <w:p>
                  <w:pPr>
                    <w:pStyle w:val="null3"/>
                    <w:jc w:val="center"/>
                  </w:pPr>
                  <w:r>
                    <w:rPr>
                      <w:rFonts w:ascii="仿宋_GB2312" w:hAnsi="仿宋_GB2312" w:cs="仿宋_GB2312" w:eastAsia="仿宋_GB2312"/>
                      <w:sz w:val="24"/>
                    </w:rPr>
                    <w:t>检查</w:t>
                  </w:r>
                </w:p>
              </w:tc>
              <w:tc>
                <w:tcPr>
                  <w:tcW w:type="dxa" w:w="16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心电图</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r>
            <w:tr>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13</w:t>
                  </w:r>
                </w:p>
              </w:tc>
              <w:tc>
                <w:tcPr>
                  <w:tcW w:type="dxa" w:w="319"/>
                  <w:vMerge/>
                  <w:tcBorders>
                    <w:top w:val="none" w:color="000000" w:sz="4"/>
                    <w:left w:val="none" w:color="000000" w:sz="4"/>
                    <w:bottom w:val="single" w:color="000000" w:sz="4"/>
                    <w:right w:val="single" w:color="000000" w:sz="4"/>
                  </w:tcBorders>
                </w:tcPr>
                <w:p/>
              </w:tc>
              <w:tc>
                <w:tcPr>
                  <w:tcW w:type="dxa" w:w="16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腹部彩超（肝胆胰脾）</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r>
            <w:tr>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14</w:t>
                  </w:r>
                </w:p>
              </w:tc>
              <w:tc>
                <w:tcPr>
                  <w:tcW w:type="dxa" w:w="319"/>
                  <w:vMerge/>
                  <w:tcBorders>
                    <w:top w:val="none" w:color="000000" w:sz="4"/>
                    <w:left w:val="none" w:color="000000" w:sz="4"/>
                    <w:bottom w:val="single" w:color="000000" w:sz="4"/>
                    <w:right w:val="single" w:color="000000" w:sz="4"/>
                  </w:tcBorders>
                </w:tcPr>
                <w:p/>
              </w:tc>
              <w:tc>
                <w:tcPr>
                  <w:tcW w:type="dxa" w:w="16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甲状腺彩超</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r>
            <w:tr>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w:t>
                  </w:r>
                </w:p>
              </w:tc>
              <w:tc>
                <w:tcPr>
                  <w:tcW w:type="dxa" w:w="319"/>
                  <w:vMerge/>
                  <w:tcBorders>
                    <w:top w:val="none" w:color="000000" w:sz="4"/>
                    <w:left w:val="none" w:color="000000" w:sz="4"/>
                    <w:bottom w:val="single" w:color="000000" w:sz="4"/>
                    <w:right w:val="single" w:color="000000" w:sz="4"/>
                  </w:tcBorders>
                </w:tcPr>
                <w:p/>
              </w:tc>
              <w:tc>
                <w:tcPr>
                  <w:tcW w:type="dxa" w:w="16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女性妇科彩超（乳腺、子宫附件盆腔）</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r>
            <w:tr>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16</w:t>
                  </w:r>
                </w:p>
              </w:tc>
              <w:tc>
                <w:tcPr>
                  <w:tcW w:type="dxa" w:w="319"/>
                  <w:vMerge/>
                  <w:tcBorders>
                    <w:top w:val="none" w:color="000000" w:sz="4"/>
                    <w:left w:val="none" w:color="000000" w:sz="4"/>
                    <w:bottom w:val="single" w:color="000000" w:sz="4"/>
                    <w:right w:val="single" w:color="000000" w:sz="4"/>
                  </w:tcBorders>
                </w:tcPr>
                <w:p/>
              </w:tc>
              <w:tc>
                <w:tcPr>
                  <w:tcW w:type="dxa" w:w="16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男性双肾输尿管膀胱前列腺彩超</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r>
            <w:tr>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17</w:t>
                  </w:r>
                </w:p>
              </w:tc>
              <w:tc>
                <w:tcPr>
                  <w:tcW w:type="dxa" w:w="319"/>
                  <w:vMerge/>
                  <w:tcBorders>
                    <w:top w:val="none" w:color="000000" w:sz="4"/>
                    <w:left w:val="none" w:color="000000" w:sz="4"/>
                    <w:bottom w:val="single" w:color="000000" w:sz="4"/>
                    <w:right w:val="single" w:color="000000" w:sz="4"/>
                  </w:tcBorders>
                </w:tcPr>
                <w:p/>
              </w:tc>
              <w:tc>
                <w:tcPr>
                  <w:tcW w:type="dxa" w:w="16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胸部</w:t>
                  </w:r>
                  <w:r>
                    <w:rPr>
                      <w:rFonts w:ascii="仿宋_GB2312" w:hAnsi="仿宋_GB2312" w:cs="仿宋_GB2312" w:eastAsia="仿宋_GB2312"/>
                      <w:sz w:val="24"/>
                    </w:rPr>
                    <w:t>CT或头颅CT二选一</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r>
            <w:tr>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18</w:t>
                  </w:r>
                </w:p>
              </w:tc>
              <w:tc>
                <w:tcPr>
                  <w:tcW w:type="dxa" w:w="31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专科检查</w:t>
                  </w:r>
                </w:p>
              </w:tc>
              <w:tc>
                <w:tcPr>
                  <w:tcW w:type="dxa" w:w="16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妇科检查（内诊）</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c>
                <w:tcPr>
                  <w:tcW w:type="dxa" w:w="2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r>
            <w:tr>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19</w:t>
                  </w:r>
                </w:p>
              </w:tc>
              <w:tc>
                <w:tcPr>
                  <w:tcW w:type="dxa" w:w="319"/>
                  <w:vMerge/>
                  <w:tcBorders>
                    <w:top w:val="none" w:color="000000" w:sz="4"/>
                    <w:left w:val="none" w:color="000000" w:sz="4"/>
                    <w:bottom w:val="single" w:color="000000" w:sz="4"/>
                    <w:right w:val="single" w:color="000000" w:sz="4"/>
                  </w:tcBorders>
                </w:tcPr>
                <w:p/>
              </w:tc>
              <w:tc>
                <w:tcPr>
                  <w:tcW w:type="dxa" w:w="16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宫颈液基薄层细胞学检测（</w:t>
                  </w:r>
                  <w:r>
                    <w:rPr>
                      <w:rFonts w:ascii="仿宋_GB2312" w:hAnsi="仿宋_GB2312" w:cs="仿宋_GB2312" w:eastAsia="仿宋_GB2312"/>
                      <w:sz w:val="24"/>
                    </w:rPr>
                    <w:t>TCT）</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r>
            <w:tr>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20</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一般检查</w:t>
                  </w:r>
                </w:p>
              </w:tc>
              <w:tc>
                <w:tcPr>
                  <w:tcW w:type="dxa" w:w="16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内科听诊（心、肺）、血压、口腔、视力、眼底、身高、体重、腹围、体质指数</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r>
          </w:tbl>
          <w:p>
            <w:pPr>
              <w:pStyle w:val="null3"/>
              <w:ind w:firstLine="482"/>
              <w:jc w:val="both"/>
            </w:pPr>
            <w:r>
              <w:rPr>
                <w:rFonts w:ascii="仿宋_GB2312" w:hAnsi="仿宋_GB2312" w:cs="仿宋_GB2312" w:eastAsia="仿宋_GB2312"/>
                <w:sz w:val="24"/>
                <w:b/>
              </w:rPr>
              <w:t>说明：</w:t>
            </w:r>
          </w:p>
          <w:p>
            <w:pPr>
              <w:pStyle w:val="null3"/>
              <w:ind w:firstLine="482"/>
              <w:jc w:val="both"/>
            </w:pPr>
            <w:r>
              <w:rPr>
                <w:rFonts w:ascii="仿宋_GB2312" w:hAnsi="仿宋_GB2312" w:cs="仿宋_GB2312" w:eastAsia="仿宋_GB2312"/>
                <w:sz w:val="24"/>
                <w:b/>
              </w:rPr>
              <w:t>（</w:t>
            </w:r>
            <w:r>
              <w:rPr>
                <w:rFonts w:ascii="仿宋_GB2312" w:hAnsi="仿宋_GB2312" w:cs="仿宋_GB2312" w:eastAsia="仿宋_GB2312"/>
                <w:sz w:val="24"/>
                <w:b/>
              </w:rPr>
              <w:t>1）在磋商时，应在采购预算金额不变的基础上结合企业自身经验为采购人提供科学合理的体检套餐，</w:t>
            </w:r>
            <w:r>
              <w:rPr>
                <w:rFonts w:ascii="仿宋_GB2312" w:hAnsi="仿宋_GB2312" w:cs="仿宋_GB2312" w:eastAsia="仿宋_GB2312"/>
                <w:sz w:val="24"/>
                <w:b/>
              </w:rPr>
              <w:t>分别为</w:t>
            </w:r>
            <w:r>
              <w:rPr>
                <w:rFonts w:ascii="仿宋_GB2312" w:hAnsi="仿宋_GB2312" w:cs="仿宋_GB2312" w:eastAsia="仿宋_GB2312"/>
                <w:sz w:val="24"/>
                <w:b/>
              </w:rPr>
              <w:t>：</w:t>
            </w:r>
          </w:p>
          <w:p>
            <w:pPr>
              <w:pStyle w:val="null3"/>
              <w:ind w:firstLine="482"/>
              <w:jc w:val="both"/>
            </w:pPr>
            <w:r>
              <w:rPr>
                <w:rFonts w:ascii="仿宋_GB2312" w:hAnsi="仿宋_GB2312" w:cs="仿宋_GB2312" w:eastAsia="仿宋_GB2312"/>
                <w:sz w:val="24"/>
                <w:b/>
              </w:rPr>
              <w:t>A.男性在职及离退休人员体检套餐；</w:t>
            </w:r>
          </w:p>
          <w:p>
            <w:pPr>
              <w:pStyle w:val="null3"/>
              <w:ind w:firstLine="482"/>
              <w:jc w:val="both"/>
            </w:pPr>
            <w:r>
              <w:rPr>
                <w:rFonts w:ascii="仿宋_GB2312" w:hAnsi="仿宋_GB2312" w:cs="仿宋_GB2312" w:eastAsia="仿宋_GB2312"/>
                <w:sz w:val="24"/>
                <w:b/>
              </w:rPr>
              <w:t>B.女性在职及离退休人员体检套餐；</w:t>
            </w:r>
          </w:p>
          <w:p>
            <w:pPr>
              <w:pStyle w:val="null3"/>
              <w:ind w:firstLine="482"/>
              <w:jc w:val="both"/>
            </w:pPr>
            <w:r>
              <w:rPr>
                <w:rFonts w:ascii="仿宋_GB2312" w:hAnsi="仿宋_GB2312" w:cs="仿宋_GB2312" w:eastAsia="仿宋_GB2312"/>
                <w:sz w:val="24"/>
                <w:b/>
              </w:rPr>
              <w:t>C.男性高层次人才体检套餐；</w:t>
            </w:r>
          </w:p>
          <w:p>
            <w:pPr>
              <w:pStyle w:val="null3"/>
              <w:ind w:firstLine="482"/>
              <w:jc w:val="both"/>
            </w:pPr>
            <w:r>
              <w:rPr>
                <w:rFonts w:ascii="仿宋_GB2312" w:hAnsi="仿宋_GB2312" w:cs="仿宋_GB2312" w:eastAsia="仿宋_GB2312"/>
                <w:sz w:val="24"/>
                <w:b/>
              </w:rPr>
              <w:t>D.女性高层次人才体检套餐。</w:t>
            </w:r>
          </w:p>
          <w:p>
            <w:pPr>
              <w:pStyle w:val="null3"/>
              <w:ind w:firstLine="482"/>
              <w:jc w:val="both"/>
            </w:pPr>
            <w:r>
              <w:rPr>
                <w:rFonts w:ascii="仿宋_GB2312" w:hAnsi="仿宋_GB2312" w:cs="仿宋_GB2312" w:eastAsia="仿宋_GB2312"/>
                <w:sz w:val="24"/>
                <w:b/>
              </w:rPr>
              <w:t>（</w:t>
            </w:r>
            <w:r>
              <w:rPr>
                <w:rFonts w:ascii="仿宋_GB2312" w:hAnsi="仿宋_GB2312" w:cs="仿宋_GB2312" w:eastAsia="仿宋_GB2312"/>
                <w:sz w:val="24"/>
                <w:b/>
              </w:rPr>
              <w:t>2）“（</w:t>
            </w:r>
            <w:r>
              <w:rPr>
                <w:rFonts w:ascii="仿宋_GB2312" w:hAnsi="仿宋_GB2312" w:cs="仿宋_GB2312" w:eastAsia="仿宋_GB2312"/>
                <w:sz w:val="24"/>
                <w:b/>
              </w:rPr>
              <w:t>一</w:t>
            </w:r>
            <w:r>
              <w:rPr>
                <w:rFonts w:ascii="仿宋_GB2312" w:hAnsi="仿宋_GB2312" w:cs="仿宋_GB2312" w:eastAsia="仿宋_GB2312"/>
                <w:sz w:val="24"/>
                <w:b/>
              </w:rPr>
              <w:t>）</w:t>
            </w:r>
            <w:r>
              <w:rPr>
                <w:rFonts w:ascii="仿宋_GB2312" w:hAnsi="仿宋_GB2312" w:cs="仿宋_GB2312" w:eastAsia="仿宋_GB2312"/>
                <w:sz w:val="24"/>
                <w:b/>
              </w:rPr>
              <w:t>基础体检清单项</w:t>
            </w:r>
            <w:r>
              <w:rPr>
                <w:rFonts w:ascii="仿宋_GB2312" w:hAnsi="仿宋_GB2312" w:cs="仿宋_GB2312" w:eastAsia="仿宋_GB2312"/>
                <w:sz w:val="24"/>
                <w:b/>
              </w:rPr>
              <w:t>”为基础体检项目清单，以上内容须包含在体检项目范围内，各供应商不得擅自删除，但可以进行增项，供应商应在采购体检清单项保持不变的基础上结合企业自身经验及实际情况完善并优化基础体检项目清单，为采购人制定四类科学合理的体检套餐。增项的费用由供应商自行考虑，包含在响应报价中，采购人不再另行支付。</w:t>
            </w:r>
          </w:p>
          <w:p>
            <w:pPr>
              <w:pStyle w:val="null3"/>
              <w:ind w:firstLine="482"/>
              <w:jc w:val="both"/>
            </w:pPr>
            <w:r>
              <w:rPr>
                <w:rFonts w:ascii="仿宋_GB2312" w:hAnsi="仿宋_GB2312" w:cs="仿宋_GB2312" w:eastAsia="仿宋_GB2312"/>
                <w:sz w:val="24"/>
                <w:b/>
              </w:rPr>
              <w:t>（二）服务标准</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按照卫生部《健康体检管理暂行规定》和中华医学会健康管理学分会推荐的健康体检目录和套餐要求，实施一站式、男女分线、医检分离进行健康体检。</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体检报告包括专家结论及整体健康评估报告电子版发送到个人手机端</w:t>
            </w:r>
            <w:r>
              <w:rPr>
                <w:rFonts w:ascii="仿宋_GB2312" w:hAnsi="仿宋_GB2312" w:cs="仿宋_GB2312" w:eastAsia="仿宋_GB2312"/>
                <w:sz w:val="24"/>
              </w:rPr>
              <w:t>，同时提供纸质体检报告单</w:t>
            </w:r>
            <w:r>
              <w:rPr>
                <w:rFonts w:ascii="仿宋_GB2312" w:hAnsi="仿宋_GB2312" w:cs="仿宋_GB2312" w:eastAsia="仿宋_GB2312"/>
                <w:sz w:val="24"/>
              </w:rPr>
              <w:t>(检验报告单给校医院留存一份)。</w:t>
            </w:r>
            <w:r>
              <w:rPr>
                <w:rFonts w:ascii="仿宋_GB2312" w:hAnsi="仿宋_GB2312" w:cs="仿宋_GB2312" w:eastAsia="仿宋_GB2312"/>
                <w:sz w:val="24"/>
              </w:rPr>
              <w:t>6</w:t>
            </w:r>
            <w:r>
              <w:rPr>
                <w:rFonts w:ascii="仿宋_GB2312" w:hAnsi="仿宋_GB2312" w:cs="仿宋_GB2312" w:eastAsia="仿宋_GB2312"/>
                <w:sz w:val="24"/>
              </w:rPr>
              <w:t>0</w:t>
            </w:r>
            <w:r>
              <w:rPr>
                <w:rFonts w:ascii="仿宋_GB2312" w:hAnsi="仿宋_GB2312" w:cs="仿宋_GB2312" w:eastAsia="仿宋_GB2312"/>
                <w:sz w:val="24"/>
              </w:rPr>
              <w:t>岁以上人员使用甲方提供的体检表并配合完善社区健康管理所需信息。</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为体检单位提供一份全面的体检总结分析报告，全面客观掌握全体员工健康状况。</w:t>
            </w:r>
            <w:r>
              <w:rPr>
                <w:rFonts w:ascii="仿宋_GB2312" w:hAnsi="仿宋_GB2312" w:cs="仿宋_GB2312" w:eastAsia="仿宋_GB2312"/>
                <w:sz w:val="24"/>
              </w:rPr>
              <w:t>为体检单位个人</w:t>
            </w:r>
            <w:r>
              <w:rPr>
                <w:rFonts w:ascii="仿宋_GB2312" w:hAnsi="仿宋_GB2312" w:cs="仿宋_GB2312" w:eastAsia="仿宋_GB2312"/>
                <w:sz w:val="24"/>
              </w:rPr>
              <w:t>提供</w:t>
            </w:r>
            <w:r>
              <w:rPr>
                <w:rFonts w:ascii="仿宋_GB2312" w:hAnsi="仿宋_GB2312" w:cs="仿宋_GB2312" w:eastAsia="仿宋_GB2312"/>
                <w:sz w:val="24"/>
              </w:rPr>
              <w:t>影像胶片</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4.按照学校计划安排对全体参加体检人员提供车辆统一接送，尤其</w:t>
            </w:r>
            <w:r>
              <w:rPr>
                <w:rFonts w:ascii="仿宋_GB2312" w:hAnsi="仿宋_GB2312" w:cs="仿宋_GB2312" w:eastAsia="仿宋_GB2312"/>
                <w:sz w:val="24"/>
              </w:rPr>
              <w:t>对</w:t>
            </w:r>
            <w:r>
              <w:rPr>
                <w:rFonts w:ascii="仿宋_GB2312" w:hAnsi="仿宋_GB2312" w:cs="仿宋_GB2312" w:eastAsia="仿宋_GB2312"/>
                <w:sz w:val="24"/>
              </w:rPr>
              <w:t>6</w:t>
            </w:r>
            <w:r>
              <w:rPr>
                <w:rFonts w:ascii="仿宋_GB2312" w:hAnsi="仿宋_GB2312" w:cs="仿宋_GB2312" w:eastAsia="仿宋_GB2312"/>
                <w:sz w:val="24"/>
              </w:rPr>
              <w:t>0</w:t>
            </w:r>
            <w:r>
              <w:rPr>
                <w:rFonts w:ascii="仿宋_GB2312" w:hAnsi="仿宋_GB2312" w:cs="仿宋_GB2312" w:eastAsia="仿宋_GB2312"/>
                <w:sz w:val="24"/>
              </w:rPr>
              <w:t>岁以上人员和行动不便的人员</w:t>
            </w:r>
            <w:r>
              <w:rPr>
                <w:rFonts w:ascii="仿宋_GB2312" w:hAnsi="仿宋_GB2312" w:cs="仿宋_GB2312" w:eastAsia="仿宋_GB2312"/>
                <w:sz w:val="24"/>
              </w:rPr>
              <w:t>必</w:t>
            </w:r>
            <w:r>
              <w:rPr>
                <w:rFonts w:ascii="仿宋_GB2312" w:hAnsi="仿宋_GB2312" w:cs="仿宋_GB2312" w:eastAsia="仿宋_GB2312"/>
                <w:sz w:val="24"/>
              </w:rPr>
              <w:t>须配备医护人员随车。</w:t>
            </w:r>
          </w:p>
          <w:p>
            <w:pPr>
              <w:pStyle w:val="null3"/>
              <w:ind w:firstLine="480"/>
              <w:jc w:val="both"/>
            </w:pPr>
            <w:r>
              <w:rPr>
                <w:rFonts w:ascii="仿宋_GB2312" w:hAnsi="仿宋_GB2312" w:cs="仿宋_GB2312" w:eastAsia="仿宋_GB2312"/>
                <w:sz w:val="24"/>
              </w:rPr>
              <w:t>5.</w:t>
            </w:r>
            <w:r>
              <w:rPr>
                <w:rFonts w:ascii="仿宋_GB2312" w:hAnsi="仿宋_GB2312" w:cs="仿宋_GB2312" w:eastAsia="仿宋_GB2312"/>
                <w:sz w:val="24"/>
              </w:rPr>
              <w:t>体检结果纳入计算机管理保存</w:t>
            </w:r>
            <w:r>
              <w:rPr>
                <w:rFonts w:ascii="仿宋_GB2312" w:hAnsi="仿宋_GB2312" w:cs="仿宋_GB2312" w:eastAsia="仿宋_GB2312"/>
                <w:sz w:val="24"/>
              </w:rPr>
              <w:t>(一般保存3年以上)，体检者可以在工作日内电话查询健康档案。</w:t>
            </w:r>
          </w:p>
          <w:p>
            <w:pPr>
              <w:pStyle w:val="null3"/>
              <w:ind w:firstLine="480"/>
              <w:jc w:val="both"/>
            </w:pPr>
            <w:r>
              <w:rPr>
                <w:rFonts w:ascii="仿宋_GB2312" w:hAnsi="仿宋_GB2312" w:cs="仿宋_GB2312" w:eastAsia="仿宋_GB2312"/>
                <w:sz w:val="24"/>
              </w:rPr>
              <w:t>6.</w:t>
            </w:r>
            <w:r>
              <w:rPr>
                <w:rFonts w:ascii="仿宋_GB2312" w:hAnsi="仿宋_GB2312" w:cs="仿宋_GB2312" w:eastAsia="仿宋_GB2312"/>
                <w:sz w:val="24"/>
              </w:rPr>
              <w:t>选派责任心强，医技水平好的医生负责体检工作。</w:t>
            </w:r>
          </w:p>
          <w:p>
            <w:pPr>
              <w:pStyle w:val="null3"/>
              <w:ind w:firstLine="480"/>
              <w:jc w:val="both"/>
            </w:pPr>
            <w:r>
              <w:rPr>
                <w:rFonts w:ascii="仿宋_GB2312" w:hAnsi="仿宋_GB2312" w:cs="仿宋_GB2312" w:eastAsia="仿宋_GB2312"/>
                <w:sz w:val="24"/>
              </w:rPr>
              <w:t>7.</w:t>
            </w:r>
            <w:r>
              <w:rPr>
                <w:rFonts w:ascii="仿宋_GB2312" w:hAnsi="仿宋_GB2312" w:cs="仿宋_GB2312" w:eastAsia="仿宋_GB2312"/>
                <w:sz w:val="24"/>
              </w:rPr>
              <w:t>B超检测仪器充足，必要时增派检查医生。</w:t>
            </w:r>
          </w:p>
          <w:p>
            <w:pPr>
              <w:pStyle w:val="null3"/>
              <w:ind w:firstLine="480"/>
              <w:jc w:val="both"/>
            </w:pPr>
            <w:r>
              <w:rPr>
                <w:rFonts w:ascii="仿宋_GB2312" w:hAnsi="仿宋_GB2312" w:cs="仿宋_GB2312" w:eastAsia="仿宋_GB2312"/>
                <w:sz w:val="24"/>
              </w:rPr>
              <w:t>8.</w:t>
            </w:r>
            <w:r>
              <w:rPr>
                <w:rFonts w:ascii="仿宋_GB2312" w:hAnsi="仿宋_GB2312" w:cs="仿宋_GB2312" w:eastAsia="仿宋_GB2312"/>
                <w:sz w:val="24"/>
              </w:rPr>
              <w:t>当日体检结束后提供早餐。</w:t>
            </w:r>
          </w:p>
          <w:p>
            <w:pPr>
              <w:pStyle w:val="null3"/>
              <w:ind w:firstLine="480"/>
              <w:jc w:val="both"/>
            </w:pPr>
            <w:r>
              <w:rPr>
                <w:rFonts w:ascii="仿宋_GB2312" w:hAnsi="仿宋_GB2312" w:cs="仿宋_GB2312" w:eastAsia="仿宋_GB2312"/>
                <w:sz w:val="24"/>
              </w:rPr>
              <w:t>9.</w:t>
            </w:r>
            <w:r>
              <w:rPr>
                <w:rFonts w:ascii="仿宋_GB2312" w:hAnsi="仿宋_GB2312" w:cs="仿宋_GB2312" w:eastAsia="仿宋_GB2312"/>
                <w:sz w:val="24"/>
              </w:rPr>
              <w:t>按照体检项目，确保设备完好、优质；提供质量良好，运作正常的设备，不会使用精密度较差的旧机器顶替，所有仪器全部经过认证且性能稳定。</w:t>
            </w:r>
          </w:p>
          <w:p>
            <w:pPr>
              <w:pStyle w:val="null3"/>
              <w:ind w:firstLine="482"/>
              <w:jc w:val="both"/>
            </w:pPr>
            <w:r>
              <w:rPr>
                <w:rFonts w:ascii="仿宋_GB2312" w:hAnsi="仿宋_GB2312" w:cs="仿宋_GB2312" w:eastAsia="仿宋_GB2312"/>
                <w:sz w:val="24"/>
                <w:b/>
              </w:rPr>
              <w:t>（三）组织实施、应急措施等要求</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体检具体时间，具体人次，跟采购人协商决定每批次安排时间半天，根据采购人要求的时间安排执行项目检查；未按时参加人员可与体检单位协商决定，适当延迟。</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设有专人值班，耐心细致地做好宣传解释工作。体检结果及建议详实、可靠、具有指导性和现实操作性。</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体检过程中如遇设备故障应启动应急预案。参检人员参加体检时，以严肃认真、及时准确、高度负责的态度和行为，配备导检人员，为受检员工提供体检上的便利，提供优质高效的健康管理服务。</w:t>
            </w:r>
          </w:p>
          <w:p>
            <w:pPr>
              <w:pStyle w:val="null3"/>
              <w:ind w:firstLine="480"/>
              <w:jc w:val="both"/>
            </w:pPr>
            <w:r>
              <w:rPr>
                <w:rFonts w:ascii="仿宋_GB2312" w:hAnsi="仿宋_GB2312" w:cs="仿宋_GB2312" w:eastAsia="仿宋_GB2312"/>
                <w:sz w:val="24"/>
              </w:rPr>
              <w:t>4.</w:t>
            </w:r>
            <w:r>
              <w:rPr>
                <w:rFonts w:ascii="仿宋_GB2312" w:hAnsi="仿宋_GB2312" w:cs="仿宋_GB2312" w:eastAsia="仿宋_GB2312"/>
                <w:sz w:val="24"/>
              </w:rPr>
              <w:t>在体检过程中如出现体检纠纷，双方需友好协商解决。经协商未能达成一致时双方均可经医疗鉴定确定责任，鉴定结果对双方均有约束力。</w:t>
            </w:r>
          </w:p>
          <w:p>
            <w:pPr>
              <w:pStyle w:val="null3"/>
              <w:ind w:firstLine="480"/>
              <w:jc w:val="both"/>
            </w:pPr>
            <w:r>
              <w:rPr>
                <w:rFonts w:ascii="仿宋_GB2312" w:hAnsi="仿宋_GB2312" w:cs="仿宋_GB2312" w:eastAsia="仿宋_GB2312"/>
                <w:sz w:val="24"/>
              </w:rPr>
              <w:t>5.</w:t>
            </w:r>
            <w:r>
              <w:rPr>
                <w:rFonts w:ascii="仿宋_GB2312" w:hAnsi="仿宋_GB2312" w:cs="仿宋_GB2312" w:eastAsia="仿宋_GB2312"/>
                <w:sz w:val="24"/>
              </w:rPr>
              <w:t>确保后续服务。对体检结果有异常者提供专家预约、就诊、住院绿色通道；对体检发现的危急重症患者提供急救及转诊绿色通道。</w:t>
            </w:r>
          </w:p>
          <w:p>
            <w:pPr>
              <w:pStyle w:val="null3"/>
              <w:ind w:firstLine="480"/>
              <w:jc w:val="both"/>
            </w:pPr>
            <w:r>
              <w:rPr>
                <w:rFonts w:ascii="仿宋_GB2312" w:hAnsi="仿宋_GB2312" w:cs="仿宋_GB2312" w:eastAsia="仿宋_GB2312"/>
                <w:sz w:val="24"/>
              </w:rPr>
              <w:t>6.经采购人授权，供应商应按照采购人要求提供影像胶片、纸质版及电子体检报告，相关费用包含在响应报价中，采购人不再另行支付。</w:t>
            </w:r>
          </w:p>
          <w:p>
            <w:pPr>
              <w:pStyle w:val="null3"/>
              <w:ind w:firstLine="482"/>
              <w:jc w:val="both"/>
            </w:pPr>
            <w:r>
              <w:rPr>
                <w:rFonts w:ascii="仿宋_GB2312" w:hAnsi="仿宋_GB2312" w:cs="仿宋_GB2312" w:eastAsia="仿宋_GB2312"/>
                <w:sz w:val="24"/>
                <w:b/>
              </w:rPr>
              <w:t>（四）报价要求及其他要求</w:t>
            </w:r>
          </w:p>
          <w:p>
            <w:pPr>
              <w:pStyle w:val="null3"/>
              <w:ind w:firstLine="480"/>
              <w:jc w:val="both"/>
            </w:pPr>
            <w:r>
              <w:rPr>
                <w:rFonts w:ascii="仿宋_GB2312" w:hAnsi="仿宋_GB2312" w:cs="仿宋_GB2312" w:eastAsia="仿宋_GB2312"/>
                <w:sz w:val="24"/>
              </w:rPr>
              <w:t>1.体检套餐单价最高响应限价要求：</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1）男性在职及离退休人员体检套餐单价限价为人民币500元/人/次；</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2）女性在职及离退休人员体检套餐单价限价为人民币600元/人/次；</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3）男性高层次人才体检套餐单价限价为人民币1600元/人/次；</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4）女性高层次人才体检套餐单价限价为人民币1600元/人/次。</w:t>
            </w:r>
          </w:p>
          <w:p>
            <w:pPr>
              <w:pStyle w:val="null3"/>
              <w:ind w:firstLine="480"/>
              <w:jc w:val="both"/>
            </w:pPr>
            <w:r>
              <w:rPr>
                <w:rFonts w:ascii="仿宋_GB2312" w:hAnsi="仿宋_GB2312" w:cs="仿宋_GB2312" w:eastAsia="仿宋_GB2312"/>
                <w:sz w:val="24"/>
              </w:rPr>
              <w:t>2.其他要求</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1）供应商体检结束后可上门进行健康讲座，相关费用包含在响应报价中，采购人不在另行支付。供应商对体检者的体检结果负有保密义务，杜绝相关信息泄露给第三者。</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供应商应保证所有体检结果真实性，如果发现体检结果有异议时，需派人陪同被体检者到指定的任意医院复查，如结果一致，费用由被体检方负责；结果不一致，由体检方承担所有费用。如果发现体检报告有弄虚作假等情况，情况属实，体检方有权终止协议。体检结束后体检人员三个月内发现重大疾病，按照体检价格双倍赔付；整体体检满意度无法达到采购人要求，今后3年内将不予合作。</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3）合同执行不可抗力情况下的免责约定，双方约定不可抗力情况包括：疫情影响、五级以上地震、大风、大雨、大雪。如果因不可抗力影响合同正常履行，协商顺延工作时限。</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提供满足本项目服务需求的人员配置。</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提供满足本项目服务需求的设施设备。</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以磋商文件及采购人要求为准。</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2025年7月上旬--2025年11月上旬，具体根据学校安排时间确定。</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以供应商提供的服务地点为准。</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应达到合格（达到国家强制性合格标准），具体参照采购人相关制度执行。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体检服务完成后采购人向成交供应商一次性付款，采购人最终付款金额根据套餐单价及实际体检人数进行据实结算，采购人付款总额不超过预算150万元。采购人向成交供应商付款前，成交供应商应向采购人开具符合采购人要求的发票，若因成交供应商未开具或逾期开具合法有效的发票，采购人有权顺延付款期限且不承担逾期付款责任</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详见拟签订的合同文本。</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供应商需要在线提交所有通过电子化交易平台实施的政府采购项目的响应文件，同时，线下提交纸质响应文件正本1份、副本1份，纸质响应文件正副本分别胶装，标明供应商名称密封递交，递交截止时间同在线递交电子响应文件截止时间一致，线下递交文件地点：开瑞项目管理有限公司（陕西省西安市莲湖区高新二路1号招商银行大厦19层前台，联系人：代光艳、刘如拉，联系电话：15229797656、17302920968）,若电子响应文件与纸质响应文件不一致的，以电子响应文件为准。 2.响应保证金注意事项：（1）响应保证金须从供应商户名支付，如从个人户名或非供应商户名支付，将被拒绝，视为自动放弃投标权利（该个人是供应商的情形除外）；响应保证金缴纳时间：开标时间之前；以保函形式交纳响应保证金的，供应商应在投标截止时间前将保函扫描成清晰的PDF文件，发送至邮箱2973608682@qq.com（邮件命名：项目名称及包段名称+项目编号）；供应商应在响应文件中附保函复印件。保函必须由具有开具投标保函资格的单位开具；若供应商违约，开具保函单位承担连带责任；（2）响应保证金的提交金额、时间不满足磋商文件要求的，投标无效；（3）供应商未按指定账户提交响应保证金的，我公司将退回，供应商须在文件递交截止时间前按照指定账户再次提交。</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供应商应提交的相关资格证明文件.docx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提供会计师事务所出具的完整的2023或2024年度审计报告（成立时间至提交响应文件截止时间不足一年的可提供成立后任意时段的资产负债表），或提交自2024年1月1日以来银行出具的资信证明，或信用担保机构出具的投标担保函（以上三种形式的资料提供任何一种即可）； 其他组织和自然人提供银行出具的资信证明或财务报表或提供承诺函，供应商需在项目电子化交易系统中按要求上传相应证明文件并进行电子签章。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供应商应提交的相关资格证明文件.docx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落实政府采购政策需满足的资格要求</w:t>
            </w:r>
          </w:p>
        </w:tc>
        <w:tc>
          <w:tcPr>
            <w:tcW w:type="dxa" w:w="3322"/>
          </w:tcPr>
          <w:p>
            <w:pPr>
              <w:pStyle w:val="null3"/>
            </w:pPr>
            <w:r>
              <w:rPr>
                <w:rFonts w:ascii="仿宋_GB2312" w:hAnsi="仿宋_GB2312" w:cs="仿宋_GB2312" w:eastAsia="仿宋_GB2312"/>
              </w:rPr>
              <w:t>1）《关于在政府采购活动中查询及使用信用记录有关问题的通知》（财库〔2016〕125号）； 2）《政府采购促进中小企业发展管理办法》（财库〔2020〕46号）、《关于进一步加大政府采购支持中小企业力度的通知》（财库〔2022〕19 号）《关于政府采购支持监狱企业发展有关问题的通知》（财库〔2014〕68号）以及《关于促进残疾人就业政府采购政策的通知》（财库〔2017〕141号）； 3）国务院办公厅《关于建立政府强制采购节能产品制度的通知》（国办发〔2007〕51号）、财政部、国家发改委、生态环境部、市场监管总局联合印发《关于调整优化节能产品、环境标志产品政府采购执行机制的通知》（财库〔2019〕9号）； 4）《陕西省财政厅关于加快推进我省中小企业政府采购信用融资工作的通知》（陕财办采〔2020〕15号）、陕西省财政厅关于印发《陕西省中小企业政府采购信用融资办法》（陕财办采〔2018〕23号）； 5）其他需要落实的政府采购政策。</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w:t>
            </w:r>
          </w:p>
        </w:tc>
        <w:tc>
          <w:tcPr>
            <w:tcW w:type="dxa" w:w="3322"/>
          </w:tcPr>
          <w:p>
            <w:pPr>
              <w:pStyle w:val="null3"/>
            </w:pPr>
            <w:r>
              <w:rPr>
                <w:rFonts w:ascii="仿宋_GB2312" w:hAnsi="仿宋_GB2312" w:cs="仿宋_GB2312" w:eastAsia="仿宋_GB2312"/>
              </w:rPr>
              <w:t>供应商为向采购人提供相关服务的法人或其他组织；</w:t>
            </w:r>
          </w:p>
        </w:tc>
        <w:tc>
          <w:tcPr>
            <w:tcW w:type="dxa" w:w="1661"/>
          </w:tcPr>
          <w:p>
            <w:pPr>
              <w:pStyle w:val="null3"/>
            </w:pPr>
            <w:r>
              <w:rPr>
                <w:rFonts w:ascii="仿宋_GB2312" w:hAnsi="仿宋_GB2312" w:cs="仿宋_GB2312" w:eastAsia="仿宋_GB2312"/>
              </w:rPr>
              <w:t>供应商应提交的相关资格证明文件.docx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信用要求</w:t>
            </w:r>
          </w:p>
        </w:tc>
        <w:tc>
          <w:tcPr>
            <w:tcW w:type="dxa" w:w="3322"/>
          </w:tcPr>
          <w:p>
            <w:pPr>
              <w:pStyle w:val="null3"/>
            </w:pPr>
            <w:r>
              <w:rPr>
                <w:rFonts w:ascii="仿宋_GB2312" w:hAnsi="仿宋_GB2312" w:cs="仿宋_GB2312" w:eastAsia="仿宋_GB2312"/>
              </w:rPr>
              <w:t>截止至响应文件递交截止时间之前，供应商未被“信用中国”网站列入失信被执行人、重大税收违法失信主体名单，未被“中国政府采购网”网站列入政府采购严重违法失信行为记录名单；</w:t>
            </w:r>
          </w:p>
        </w:tc>
        <w:tc>
          <w:tcPr>
            <w:tcW w:type="dxa" w:w="1661"/>
          </w:tcPr>
          <w:p>
            <w:pPr>
              <w:pStyle w:val="null3"/>
            </w:pPr>
            <w:r>
              <w:rPr>
                <w:rFonts w:ascii="仿宋_GB2312" w:hAnsi="仿宋_GB2312" w:cs="仿宋_GB2312" w:eastAsia="仿宋_GB2312"/>
              </w:rPr>
              <w:t>供应商应提交的相关资格证明文件.docx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磋商代表</w:t>
            </w:r>
          </w:p>
        </w:tc>
        <w:tc>
          <w:tcPr>
            <w:tcW w:type="dxa" w:w="3322"/>
          </w:tcPr>
          <w:p>
            <w:pPr>
              <w:pStyle w:val="null3"/>
            </w:pPr>
            <w:r>
              <w:rPr>
                <w:rFonts w:ascii="仿宋_GB2312" w:hAnsi="仿宋_GB2312" w:cs="仿宋_GB2312" w:eastAsia="仿宋_GB2312"/>
              </w:rPr>
              <w:t>供应商应授权合法的人员参加本项目采购活动全过程；</w:t>
            </w:r>
          </w:p>
        </w:tc>
        <w:tc>
          <w:tcPr>
            <w:tcW w:type="dxa" w:w="1661"/>
          </w:tcPr>
          <w:p>
            <w:pPr>
              <w:pStyle w:val="null3"/>
            </w:pPr>
            <w:r>
              <w:rPr>
                <w:rFonts w:ascii="仿宋_GB2312" w:hAnsi="仿宋_GB2312" w:cs="仿宋_GB2312" w:eastAsia="仿宋_GB2312"/>
              </w:rPr>
              <w:t>供应商应提交的相关资格证明文件.docx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供应商资质要求</w:t>
            </w:r>
          </w:p>
        </w:tc>
        <w:tc>
          <w:tcPr>
            <w:tcW w:type="dxa" w:w="3322"/>
          </w:tcPr>
          <w:p>
            <w:pPr>
              <w:pStyle w:val="null3"/>
            </w:pPr>
            <w:r>
              <w:rPr>
                <w:rFonts w:ascii="仿宋_GB2312" w:hAnsi="仿宋_GB2312" w:cs="仿宋_GB2312" w:eastAsia="仿宋_GB2312"/>
              </w:rPr>
              <w:t>供应商应具备合法有效的《医疗机构执业许可证》及《放射诊疗许可证》；</w:t>
            </w:r>
          </w:p>
        </w:tc>
        <w:tc>
          <w:tcPr>
            <w:tcW w:type="dxa" w:w="1661"/>
          </w:tcPr>
          <w:p>
            <w:pPr>
              <w:pStyle w:val="null3"/>
            </w:pPr>
            <w:r>
              <w:rPr>
                <w:rFonts w:ascii="仿宋_GB2312" w:hAnsi="仿宋_GB2312" w:cs="仿宋_GB2312" w:eastAsia="仿宋_GB2312"/>
              </w:rPr>
              <w:t>供应商应提交的相关资格证明文件.docx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是否面向中小企业采购</w:t>
            </w:r>
          </w:p>
        </w:tc>
        <w:tc>
          <w:tcPr>
            <w:tcW w:type="dxa" w:w="3322"/>
          </w:tcPr>
          <w:p>
            <w:pPr>
              <w:pStyle w:val="null3"/>
            </w:pPr>
            <w:r>
              <w:rPr>
                <w:rFonts w:ascii="仿宋_GB2312" w:hAnsi="仿宋_GB2312" w:cs="仿宋_GB2312" w:eastAsia="仿宋_GB2312"/>
              </w:rPr>
              <w:t>本项目不专门面向中小企业采购。</w:t>
            </w:r>
          </w:p>
        </w:tc>
        <w:tc>
          <w:tcPr>
            <w:tcW w:type="dxa" w:w="1661"/>
          </w:tcPr>
          <w:p>
            <w:pPr>
              <w:pStyle w:val="null3"/>
            </w:pPr>
            <w:r>
              <w:rPr>
                <w:rFonts w:ascii="仿宋_GB2312" w:hAnsi="仿宋_GB2312" w:cs="仿宋_GB2312" w:eastAsia="仿宋_GB2312"/>
              </w:rPr>
              <w:t>中小企业声明函 供应商应提交的相关资格证明文件.docx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分项报价清单.docx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竞争性磋商响应文件是否按竞争性磋商文件要求签署、盖章的</w:t>
            </w:r>
          </w:p>
        </w:tc>
        <w:tc>
          <w:tcPr>
            <w:tcW w:type="dxa" w:w="3322"/>
          </w:tcPr>
          <w:p>
            <w:pPr>
              <w:pStyle w:val="null3"/>
            </w:pPr>
            <w:r>
              <w:rPr>
                <w:rFonts w:ascii="仿宋_GB2312" w:hAnsi="仿宋_GB2312" w:cs="仿宋_GB2312" w:eastAsia="仿宋_GB2312"/>
              </w:rPr>
              <w:t>按竞争性磋商响应文件要求签署、盖章的</w:t>
            </w:r>
          </w:p>
        </w:tc>
        <w:tc>
          <w:tcPr>
            <w:tcW w:type="dxa" w:w="1661"/>
          </w:tcPr>
          <w:p>
            <w:pPr>
              <w:pStyle w:val="null3"/>
            </w:pPr>
            <w:r>
              <w:rPr>
                <w:rFonts w:ascii="仿宋_GB2312" w:hAnsi="仿宋_GB2312" w:cs="仿宋_GB2312" w:eastAsia="仿宋_GB2312"/>
              </w:rPr>
              <w:t>体检设备配备表.docx 分项报价清单.docx 商务应答表 报价表 信息隐私性相关服务及保障措施.docx 增值服务方案.docx 体检套餐方案.docx 管理制度及投诉处理措施、补救措施方案.docx 标的清单 供应商应提交的相关资格证明文件.docx 类似业绩.docx 监狱企业的证明文件 检后服务措施.docx 应急处理措施及解决方案.docx 服务内容及服务邀请应答表 中小企业声明函 拟派团队人员清单.docx 对体检发现的危急重症患者提供急救及转诊绿色通道等方案.docx 合理化建议.docx 响应文件封面 总体服务方案和工作流程.docx 服务质量措施方案.docx 残疾人福利性单位声明函 电子化查询服务方案.docx 响应函 接送的服务方案.docx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报价是否超过竞争性磋商文件中规定的最高限价的</w:t>
            </w:r>
          </w:p>
        </w:tc>
        <w:tc>
          <w:tcPr>
            <w:tcW w:type="dxa" w:w="3322"/>
          </w:tcPr>
          <w:p>
            <w:pPr>
              <w:pStyle w:val="null3"/>
            </w:pPr>
            <w:r>
              <w:rPr>
                <w:rFonts w:ascii="仿宋_GB2312" w:hAnsi="仿宋_GB2312" w:cs="仿宋_GB2312" w:eastAsia="仿宋_GB2312"/>
              </w:rPr>
              <w:t>报价未超过竞争性磋商文件中规定的最高限价的</w:t>
            </w:r>
          </w:p>
        </w:tc>
        <w:tc>
          <w:tcPr>
            <w:tcW w:type="dxa" w:w="1661"/>
          </w:tcPr>
          <w:p>
            <w:pPr>
              <w:pStyle w:val="null3"/>
            </w:pPr>
            <w:r>
              <w:rPr>
                <w:rFonts w:ascii="仿宋_GB2312" w:hAnsi="仿宋_GB2312" w:cs="仿宋_GB2312" w:eastAsia="仿宋_GB2312"/>
              </w:rPr>
              <w:t>分项报价清单.docx 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竞争性磋商文件是否含有采购人不能接受的附加条件的或其他情形</w:t>
            </w:r>
          </w:p>
        </w:tc>
        <w:tc>
          <w:tcPr>
            <w:tcW w:type="dxa" w:w="3322"/>
          </w:tcPr>
          <w:p>
            <w:pPr>
              <w:pStyle w:val="null3"/>
            </w:pPr>
            <w:r>
              <w:rPr>
                <w:rFonts w:ascii="仿宋_GB2312" w:hAnsi="仿宋_GB2312" w:cs="仿宋_GB2312" w:eastAsia="仿宋_GB2312"/>
              </w:rPr>
              <w:t>竞争性磋商文件未含有采购人不能接受的附加条件的或其他情形</w:t>
            </w:r>
          </w:p>
        </w:tc>
        <w:tc>
          <w:tcPr>
            <w:tcW w:type="dxa" w:w="1661"/>
          </w:tcPr>
          <w:p>
            <w:pPr>
              <w:pStyle w:val="null3"/>
            </w:pPr>
            <w:r>
              <w:rPr>
                <w:rFonts w:ascii="仿宋_GB2312" w:hAnsi="仿宋_GB2312" w:cs="仿宋_GB2312" w:eastAsia="仿宋_GB2312"/>
              </w:rPr>
              <w:t>体检设备配备表.docx 分项报价清单.docx 商务应答表 报价表 信息隐私性相关服务及保障措施.docx 增值服务方案.docx 体检套餐方案.docx 管理制度及投诉处理措施、补救措施方案.docx 标的清单 供应商应提交的相关资格证明文件.docx 类似业绩.docx 监狱企业的证明文件 检后服务措施.docx 应急处理措施及解决方案.docx 服务内容及服务邀请应答表 中小企业声明函 拟派团队人员清单.docx 对体检发现的危急重症患者提供急救及转诊绿色通道等方案.docx 合理化建议.docx 响应文件封面 总体服务方案和工作流程.docx 服务质量措施方案.docx 残疾人福利性单位声明函 电子化查询服务方案.docx 响应函 接送的服务方案.docx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是否发现法律、法规和竞争性磋商文件规定的其他无效情形</w:t>
            </w:r>
          </w:p>
        </w:tc>
        <w:tc>
          <w:tcPr>
            <w:tcW w:type="dxa" w:w="3322"/>
          </w:tcPr>
          <w:p>
            <w:pPr>
              <w:pStyle w:val="null3"/>
            </w:pPr>
            <w:r>
              <w:rPr>
                <w:rFonts w:ascii="仿宋_GB2312" w:hAnsi="仿宋_GB2312" w:cs="仿宋_GB2312" w:eastAsia="仿宋_GB2312"/>
              </w:rPr>
              <w:t>未发现法律、法规和竞争性磋商文件规定的其他无效情形</w:t>
            </w:r>
          </w:p>
        </w:tc>
        <w:tc>
          <w:tcPr>
            <w:tcW w:type="dxa" w:w="1661"/>
          </w:tcPr>
          <w:p>
            <w:pPr>
              <w:pStyle w:val="null3"/>
            </w:pPr>
            <w:r>
              <w:rPr>
                <w:rFonts w:ascii="仿宋_GB2312" w:hAnsi="仿宋_GB2312" w:cs="仿宋_GB2312" w:eastAsia="仿宋_GB2312"/>
              </w:rPr>
              <w:t>体检设备配备表.docx 分项报价清单.docx 商务应答表 报价表 信息隐私性相关服务及保障措施.docx 增值服务方案.docx 体检套餐方案.docx 管理制度及投诉处理措施、补救措施方案.docx 标的清单 供应商应提交的相关资格证明文件.docx 类似业绩.docx 监狱企业的证明文件 检后服务措施.docx 应急处理措施及解决方案.docx 服务内容及服务邀请应答表 中小企业声明函 拟派团队人员清单.docx 对体检发现的危急重症患者提供急救及转诊绿色通道等方案.docx 合理化建议.docx 响应文件封面 总体服务方案和工作流程.docx 服务质量措施方案.docx 残疾人福利性单位声明函 电子化查询服务方案.docx 响应函 接送的服务方案.docx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详细评审85.00分</w:t>
            </w:r>
          </w:p>
          <w:p>
            <w:pPr>
              <w:pStyle w:val="null3"/>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体检服务方案1</w:t>
            </w:r>
          </w:p>
        </w:tc>
        <w:tc>
          <w:tcPr>
            <w:tcW w:type="dxa" w:w="2492"/>
          </w:tcPr>
          <w:p>
            <w:pPr>
              <w:pStyle w:val="null3"/>
            </w:pPr>
            <w:r>
              <w:rPr>
                <w:rFonts w:ascii="仿宋_GB2312" w:hAnsi="仿宋_GB2312" w:cs="仿宋_GB2312" w:eastAsia="仿宋_GB2312"/>
              </w:rPr>
              <w:t>1.根据供应商针对本项目提供规范的总体服务方案和工作流程，进行评审： 总体服务方案及工作流程内容有详细的说明，内容完整合理可行，与项目实际需求完全适配，完全满足采购人需求的得3.1-5分； 总体服务方案及工作流程内容包含上述内容，有明确的制定方案，但描述简略且缺少关键点及重要内容的得1.1-3分； 总体服务方案及工作流程内容有缺漏，内容阐述缺乏主次，与本次服务要求适配度差的得0-1分； 未提供的得0分。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总体服务方案和工作流程.docx</w:t>
            </w:r>
          </w:p>
        </w:tc>
      </w:tr>
      <w:tr>
        <w:tc>
          <w:tcPr>
            <w:tcW w:type="dxa" w:w="831"/>
            <w:vMerge/>
          </w:tcPr>
          <w:p/>
        </w:tc>
        <w:tc>
          <w:tcPr>
            <w:tcW w:type="dxa" w:w="1661"/>
          </w:tcPr>
          <w:p>
            <w:pPr>
              <w:pStyle w:val="null3"/>
            </w:pPr>
            <w:r>
              <w:rPr>
                <w:rFonts w:ascii="仿宋_GB2312" w:hAnsi="仿宋_GB2312" w:cs="仿宋_GB2312" w:eastAsia="仿宋_GB2312"/>
              </w:rPr>
              <w:t>体检服务方案2</w:t>
            </w:r>
          </w:p>
        </w:tc>
        <w:tc>
          <w:tcPr>
            <w:tcW w:type="dxa" w:w="2492"/>
          </w:tcPr>
          <w:p>
            <w:pPr>
              <w:pStyle w:val="null3"/>
            </w:pPr>
            <w:r>
              <w:rPr>
                <w:rFonts w:ascii="仿宋_GB2312" w:hAnsi="仿宋_GB2312" w:cs="仿宋_GB2312" w:eastAsia="仿宋_GB2312"/>
              </w:rPr>
              <w:t>2.根据供应商提供的本项目实际情况结合企业自身经验制定适合高校教职工的最合理、科学的体检项目方案形成“套餐体检方案”（A男性在职及离退休人员、B女性在职及离退休人员、C男高层次人才套餐体检方案、D女男高层次人才套餐体检方案）进行评审： 体检方案完整，内容有详细的说明，内容完整合理可行，与项目实际需求完全适配，完全满足采购人需求的得3.1-5分； 体检方案完整，内容包含上述内容，有明确的制定方案，但描述简略且缺少关键点及重要内容的得1.1-3分； 体检方案不完整，内容有缺漏，内容阐述缺乏主次，与本次服务要求适配度差的得0-1分； 未提供的得0分。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体检套餐方案.docx</w:t>
            </w:r>
          </w:p>
        </w:tc>
      </w:tr>
      <w:tr>
        <w:tc>
          <w:tcPr>
            <w:tcW w:type="dxa" w:w="831"/>
            <w:vMerge/>
          </w:tcPr>
          <w:p/>
        </w:tc>
        <w:tc>
          <w:tcPr>
            <w:tcW w:type="dxa" w:w="1661"/>
          </w:tcPr>
          <w:p>
            <w:pPr>
              <w:pStyle w:val="null3"/>
            </w:pPr>
            <w:r>
              <w:rPr>
                <w:rFonts w:ascii="仿宋_GB2312" w:hAnsi="仿宋_GB2312" w:cs="仿宋_GB2312" w:eastAsia="仿宋_GB2312"/>
              </w:rPr>
              <w:t>体检服务方案3</w:t>
            </w:r>
          </w:p>
        </w:tc>
        <w:tc>
          <w:tcPr>
            <w:tcW w:type="dxa" w:w="2492"/>
          </w:tcPr>
          <w:p>
            <w:pPr>
              <w:pStyle w:val="null3"/>
            </w:pPr>
            <w:r>
              <w:rPr>
                <w:rFonts w:ascii="仿宋_GB2312" w:hAnsi="仿宋_GB2312" w:cs="仿宋_GB2312" w:eastAsia="仿宋_GB2312"/>
              </w:rPr>
              <w:t>3.根据供应商针对本项目参与体检的人员的“信息隐私性”拟定相关服务及保障措施进行评审： 保密措施方案针对上述内容有详细的说明，内容完整合理可行，与项目实际需求完全适配，完全满足采购人需求的得3.1-5分； 保密措施方案内容包含上述内容，有明确的制定方案，但描述简略且缺少关键点及重要内容的得1.1-3分； 保密措施方案内容有缺漏，内容阐述缺乏主次，与本次服务要求适配度差的得0-1分； 未提供的得0分。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信息隐私性相关服务及保障措施.docx</w:t>
            </w:r>
          </w:p>
        </w:tc>
      </w:tr>
      <w:tr>
        <w:tc>
          <w:tcPr>
            <w:tcW w:type="dxa" w:w="831"/>
            <w:vMerge/>
          </w:tcPr>
          <w:p/>
        </w:tc>
        <w:tc>
          <w:tcPr>
            <w:tcW w:type="dxa" w:w="1661"/>
          </w:tcPr>
          <w:p>
            <w:pPr>
              <w:pStyle w:val="null3"/>
            </w:pPr>
            <w:r>
              <w:rPr>
                <w:rFonts w:ascii="仿宋_GB2312" w:hAnsi="仿宋_GB2312" w:cs="仿宋_GB2312" w:eastAsia="仿宋_GB2312"/>
              </w:rPr>
              <w:t>体检服务方案4</w:t>
            </w:r>
          </w:p>
        </w:tc>
        <w:tc>
          <w:tcPr>
            <w:tcW w:type="dxa" w:w="2492"/>
          </w:tcPr>
          <w:p>
            <w:pPr>
              <w:pStyle w:val="null3"/>
            </w:pPr>
            <w:r>
              <w:rPr>
                <w:rFonts w:ascii="仿宋_GB2312" w:hAnsi="仿宋_GB2312" w:cs="仿宋_GB2312" w:eastAsia="仿宋_GB2312"/>
              </w:rPr>
              <w:t>4.根据供应商提供的针对本项目的人员服务保障方案（包括管理制度及投诉处理措施、补救措施等）进行评审： 服务保障方案完整，内容科学合理、满足项目要求，合理性、针对性强得3.1-5分； 服务保障方案完整，内容基本可行，但合理性、针对性稍有欠缺的得1.1-3分； 服务保障方案不完整，内容有部分缺漏，合理性、针对性较差的得0-1分； 未提供的得0分。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管理制度及投诉处理措施、补救措施方案.docx</w:t>
            </w:r>
          </w:p>
        </w:tc>
      </w:tr>
      <w:tr>
        <w:tc>
          <w:tcPr>
            <w:tcW w:type="dxa" w:w="831"/>
            <w:vMerge/>
          </w:tcPr>
          <w:p/>
        </w:tc>
        <w:tc>
          <w:tcPr>
            <w:tcW w:type="dxa" w:w="1661"/>
          </w:tcPr>
          <w:p>
            <w:pPr>
              <w:pStyle w:val="null3"/>
            </w:pPr>
            <w:r>
              <w:rPr>
                <w:rFonts w:ascii="仿宋_GB2312" w:hAnsi="仿宋_GB2312" w:cs="仿宋_GB2312" w:eastAsia="仿宋_GB2312"/>
              </w:rPr>
              <w:t>体检服务方案5</w:t>
            </w:r>
          </w:p>
        </w:tc>
        <w:tc>
          <w:tcPr>
            <w:tcW w:type="dxa" w:w="2492"/>
          </w:tcPr>
          <w:p>
            <w:pPr>
              <w:pStyle w:val="null3"/>
            </w:pPr>
            <w:r>
              <w:rPr>
                <w:rFonts w:ascii="仿宋_GB2312" w:hAnsi="仿宋_GB2312" w:cs="仿宋_GB2312" w:eastAsia="仿宋_GB2312"/>
              </w:rPr>
              <w:t>5.根据供应商提供针对本项目的应急处理措施及解决方案（包括仪器故障或因其他人力不可抗拒因素导致未能按时出具检测报告的补救措施等）进行评审： 应急处理措施方案完整，内容科学合理、满足项目要求，合理性、针对性强得3.1-5分； 应急处理措施方案完整，内容基本可行，但合理性、针对性稍有欠缺的得1.1-3分； 应急处理措施方案不完整，内容有部分缺漏，合理性、针对性较差的得0-1分； 未提供的得0分。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应急处理措施及解决方案.docx</w:t>
            </w:r>
          </w:p>
        </w:tc>
      </w:tr>
      <w:tr>
        <w:tc>
          <w:tcPr>
            <w:tcW w:type="dxa" w:w="831"/>
            <w:vMerge/>
          </w:tcPr>
          <w:p/>
        </w:tc>
        <w:tc>
          <w:tcPr>
            <w:tcW w:type="dxa" w:w="1661"/>
          </w:tcPr>
          <w:p>
            <w:pPr>
              <w:pStyle w:val="null3"/>
            </w:pPr>
            <w:r>
              <w:rPr>
                <w:rFonts w:ascii="仿宋_GB2312" w:hAnsi="仿宋_GB2312" w:cs="仿宋_GB2312" w:eastAsia="仿宋_GB2312"/>
              </w:rPr>
              <w:t>体检服务质量1</w:t>
            </w:r>
          </w:p>
        </w:tc>
        <w:tc>
          <w:tcPr>
            <w:tcW w:type="dxa" w:w="2492"/>
          </w:tcPr>
          <w:p>
            <w:pPr>
              <w:pStyle w:val="null3"/>
            </w:pPr>
            <w:r>
              <w:rPr>
                <w:rFonts w:ascii="仿宋_GB2312" w:hAnsi="仿宋_GB2312" w:cs="仿宋_GB2312" w:eastAsia="仿宋_GB2312"/>
              </w:rPr>
              <w:t>1.根据供应商针对本项目特点能够分批次预留专场体检时间，能够保障体检服务质量措施进行评审: 体检服务质量措施方案完整，内容科学合理、满足项目要求，合理性、针对性强得3.1-5分； 体检服务质量措施方案完整，内容基本可行，但合理性、针对性稍有欠缺的得1.1-3分； 体检服务质量措施方案不完整，内容有部分缺漏，合理性、针对性较差的得0-1分； 未提供的得0分。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服务质量措施方案.docx</w:t>
            </w:r>
          </w:p>
        </w:tc>
      </w:tr>
      <w:tr>
        <w:tc>
          <w:tcPr>
            <w:tcW w:type="dxa" w:w="831"/>
            <w:vMerge/>
          </w:tcPr>
          <w:p/>
        </w:tc>
        <w:tc>
          <w:tcPr>
            <w:tcW w:type="dxa" w:w="1661"/>
          </w:tcPr>
          <w:p>
            <w:pPr>
              <w:pStyle w:val="null3"/>
            </w:pPr>
            <w:r>
              <w:rPr>
                <w:rFonts w:ascii="仿宋_GB2312" w:hAnsi="仿宋_GB2312" w:cs="仿宋_GB2312" w:eastAsia="仿宋_GB2312"/>
              </w:rPr>
              <w:t>体检服务质量2</w:t>
            </w:r>
          </w:p>
        </w:tc>
        <w:tc>
          <w:tcPr>
            <w:tcW w:type="dxa" w:w="2492"/>
          </w:tcPr>
          <w:p>
            <w:pPr>
              <w:pStyle w:val="null3"/>
            </w:pPr>
            <w:r>
              <w:rPr>
                <w:rFonts w:ascii="仿宋_GB2312" w:hAnsi="仿宋_GB2312" w:cs="仿宋_GB2312" w:eastAsia="仿宋_GB2312"/>
              </w:rPr>
              <w:t>2.根据供应商提供对体检结果有异常者提供专家预约、就诊、住院绿色通道；对体检发现的危急重症患者提供急救及转诊绿色通道等服务方案进行评审： 服务方案齐全，内容科学合理、满足项目要求，合理性、针对性强得3.1-5分； 服务方案齐全，内容有一定的可行性，基本满足项目要求，具有一定的合理性、针对性得1.1-3分； 服务方案不齐全，内容有缺项、漏项，针对性稍有欠缺的得0-1分。 未提供的得0分。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对体检发现的危急重症患者提供急救及转诊绿色通道等方案.docx</w:t>
            </w:r>
          </w:p>
        </w:tc>
      </w:tr>
      <w:tr>
        <w:tc>
          <w:tcPr>
            <w:tcW w:type="dxa" w:w="831"/>
            <w:vMerge/>
          </w:tcPr>
          <w:p/>
        </w:tc>
        <w:tc>
          <w:tcPr>
            <w:tcW w:type="dxa" w:w="1661"/>
          </w:tcPr>
          <w:p>
            <w:pPr>
              <w:pStyle w:val="null3"/>
            </w:pPr>
            <w:r>
              <w:rPr>
                <w:rFonts w:ascii="仿宋_GB2312" w:hAnsi="仿宋_GB2312" w:cs="仿宋_GB2312" w:eastAsia="仿宋_GB2312"/>
              </w:rPr>
              <w:t>体检服务质量3</w:t>
            </w:r>
          </w:p>
        </w:tc>
        <w:tc>
          <w:tcPr>
            <w:tcW w:type="dxa" w:w="2492"/>
          </w:tcPr>
          <w:p>
            <w:pPr>
              <w:pStyle w:val="null3"/>
            </w:pPr>
            <w:r>
              <w:rPr>
                <w:rFonts w:ascii="仿宋_GB2312" w:hAnsi="仿宋_GB2312" w:cs="仿宋_GB2312" w:eastAsia="仿宋_GB2312"/>
              </w:rPr>
              <w:t>3.根据供应商对采购人体检教职工人员提供车辆统一接送，以及对60岁以上人员和行动不便的人员必须配备医护人员随车的服务方案进行评审： 接送服务方案齐全，内容科学合理、满足项目要求，合理性、针对性强得3.1-5分； 接送服务方案齐全，内容有一定的可行性，基本满足项目要求，具有一定的合理性、针对性得1.1-3分； 接送服务方案不齐全，内容有缺项、漏项，针对性稍有欠缺的得0-1分。 未提供的得0分。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接送的服务方案.docx</w:t>
            </w:r>
          </w:p>
        </w:tc>
      </w:tr>
      <w:tr>
        <w:tc>
          <w:tcPr>
            <w:tcW w:type="dxa" w:w="831"/>
            <w:vMerge/>
          </w:tcPr>
          <w:p/>
        </w:tc>
        <w:tc>
          <w:tcPr>
            <w:tcW w:type="dxa" w:w="1661"/>
          </w:tcPr>
          <w:p>
            <w:pPr>
              <w:pStyle w:val="null3"/>
            </w:pPr>
            <w:r>
              <w:rPr>
                <w:rFonts w:ascii="仿宋_GB2312" w:hAnsi="仿宋_GB2312" w:cs="仿宋_GB2312" w:eastAsia="仿宋_GB2312"/>
              </w:rPr>
              <w:t>服务团队1</w:t>
            </w:r>
          </w:p>
        </w:tc>
        <w:tc>
          <w:tcPr>
            <w:tcW w:type="dxa" w:w="2492"/>
          </w:tcPr>
          <w:p>
            <w:pPr>
              <w:pStyle w:val="null3"/>
            </w:pPr>
            <w:r>
              <w:rPr>
                <w:rFonts w:ascii="仿宋_GB2312" w:hAnsi="仿宋_GB2312" w:cs="仿宋_GB2312" w:eastAsia="仿宋_GB2312"/>
              </w:rPr>
              <w:t>1.供应商自行拟定针对本项目的医师团队名单，磋商小组根据其人员数量、经验、年龄等因素横向比较进行评审： 人员配备充足，各岗位人员专业背景与项目需求贴合的得3.1-5分； 人员配备稍有欠缺，各岗位人员的专业背景与项目需求贴合的得1.1-3分； 人员配备不足，部分关键岗位人员缺失或专业背景与项目需求不符的得0-1分； 未提供的得0分。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拟派团队人员清单.docx</w:t>
            </w:r>
          </w:p>
        </w:tc>
      </w:tr>
      <w:tr>
        <w:tc>
          <w:tcPr>
            <w:tcW w:type="dxa" w:w="831"/>
            <w:vMerge/>
          </w:tcPr>
          <w:p/>
        </w:tc>
        <w:tc>
          <w:tcPr>
            <w:tcW w:type="dxa" w:w="1661"/>
          </w:tcPr>
          <w:p>
            <w:pPr>
              <w:pStyle w:val="null3"/>
            </w:pPr>
            <w:r>
              <w:rPr>
                <w:rFonts w:ascii="仿宋_GB2312" w:hAnsi="仿宋_GB2312" w:cs="仿宋_GB2312" w:eastAsia="仿宋_GB2312"/>
              </w:rPr>
              <w:t>服务团队2</w:t>
            </w:r>
          </w:p>
        </w:tc>
        <w:tc>
          <w:tcPr>
            <w:tcW w:type="dxa" w:w="2492"/>
          </w:tcPr>
          <w:p>
            <w:pPr>
              <w:pStyle w:val="null3"/>
            </w:pPr>
            <w:r>
              <w:rPr>
                <w:rFonts w:ascii="仿宋_GB2312" w:hAnsi="仿宋_GB2312" w:cs="仿宋_GB2312" w:eastAsia="仿宋_GB2312"/>
              </w:rPr>
              <w:t>2.供应商提供的医师团队名单中每有一位具有高级职称的加2分，最多加10分；（提供相关证书的复印件并加盖供应商公章）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拟派团队人员清单.docx</w:t>
            </w:r>
          </w:p>
        </w:tc>
      </w:tr>
      <w:tr>
        <w:tc>
          <w:tcPr>
            <w:tcW w:type="dxa" w:w="831"/>
            <w:vMerge/>
          </w:tcPr>
          <w:p/>
        </w:tc>
        <w:tc>
          <w:tcPr>
            <w:tcW w:type="dxa" w:w="1661"/>
          </w:tcPr>
          <w:p>
            <w:pPr>
              <w:pStyle w:val="null3"/>
            </w:pPr>
            <w:r>
              <w:rPr>
                <w:rFonts w:ascii="仿宋_GB2312" w:hAnsi="仿宋_GB2312" w:cs="仿宋_GB2312" w:eastAsia="仿宋_GB2312"/>
              </w:rPr>
              <w:t>体检设备配备</w:t>
            </w:r>
          </w:p>
        </w:tc>
        <w:tc>
          <w:tcPr>
            <w:tcW w:type="dxa" w:w="2492"/>
          </w:tcPr>
          <w:p>
            <w:pPr>
              <w:pStyle w:val="null3"/>
            </w:pPr>
            <w:r>
              <w:rPr>
                <w:rFonts w:ascii="仿宋_GB2312" w:hAnsi="仿宋_GB2312" w:cs="仿宋_GB2312" w:eastAsia="仿宋_GB2312"/>
              </w:rPr>
              <w:t>根据供应商针对本项目提供的体检设备、检测仪器等设备的证明材料进行评审： 证明材料齐全，设备、性能先进，能够深度满足体检项目需求的得3.1-5分； 证明材料齐全，设备、性能一般，能够基本满足体检项目需求的得1.1-3分； 证明材料有欠缺，设备、性能满足部分体检项目需求的得0-1分； 未提供的得0分。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体检设备配备表.docx</w:t>
            </w:r>
          </w:p>
        </w:tc>
      </w:tr>
      <w:tr>
        <w:tc>
          <w:tcPr>
            <w:tcW w:type="dxa" w:w="831"/>
            <w:vMerge/>
          </w:tcPr>
          <w:p/>
        </w:tc>
        <w:tc>
          <w:tcPr>
            <w:tcW w:type="dxa" w:w="1661"/>
          </w:tcPr>
          <w:p>
            <w:pPr>
              <w:pStyle w:val="null3"/>
            </w:pPr>
            <w:r>
              <w:rPr>
                <w:rFonts w:ascii="仿宋_GB2312" w:hAnsi="仿宋_GB2312" w:cs="仿宋_GB2312" w:eastAsia="仿宋_GB2312"/>
              </w:rPr>
              <w:t>电子化查询服务方案</w:t>
            </w:r>
          </w:p>
        </w:tc>
        <w:tc>
          <w:tcPr>
            <w:tcW w:type="dxa" w:w="2492"/>
          </w:tcPr>
          <w:p>
            <w:pPr>
              <w:pStyle w:val="null3"/>
            </w:pPr>
            <w:r>
              <w:rPr>
                <w:rFonts w:ascii="仿宋_GB2312" w:hAnsi="仿宋_GB2312" w:cs="仿宋_GB2312" w:eastAsia="仿宋_GB2312"/>
              </w:rPr>
              <w:t>根据供应商针对本项目提供的电子化服务方案（体检过程电子化；采购人可以实时查询体检人数，防止遗漏体检人员；体检者在体检过程中可实时查看已检查和未检查的项目；体检电子报告体检者个人可查询并导出PDF下载打印）进行评审： 电子化服务方案针对上述内容有详细的说明，内容完整合理可行，与项目实际需求完全适配，完全满足采购人需求的得3.1-5分； 电子化服务方案内容包含上述内容，有明确的制定方案，但描述简略且缺少关键点及重要内容的得1.1-3分； 电子化服务方案内容有缺漏，内容阐述缺乏主次，与本次服务要求适配度差的得0-1分； 未提供的得0分。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电子化查询服务方案.docx</w:t>
            </w:r>
          </w:p>
        </w:tc>
      </w:tr>
      <w:tr>
        <w:tc>
          <w:tcPr>
            <w:tcW w:type="dxa" w:w="831"/>
            <w:vMerge/>
          </w:tcPr>
          <w:p/>
        </w:tc>
        <w:tc>
          <w:tcPr>
            <w:tcW w:type="dxa" w:w="1661"/>
          </w:tcPr>
          <w:p>
            <w:pPr>
              <w:pStyle w:val="null3"/>
            </w:pPr>
            <w:r>
              <w:rPr>
                <w:rFonts w:ascii="仿宋_GB2312" w:hAnsi="仿宋_GB2312" w:cs="仿宋_GB2312" w:eastAsia="仿宋_GB2312"/>
              </w:rPr>
              <w:t>检后服务措施</w:t>
            </w:r>
          </w:p>
        </w:tc>
        <w:tc>
          <w:tcPr>
            <w:tcW w:type="dxa" w:w="2492"/>
          </w:tcPr>
          <w:p>
            <w:pPr>
              <w:pStyle w:val="null3"/>
            </w:pPr>
            <w:r>
              <w:rPr>
                <w:rFonts w:ascii="仿宋_GB2312" w:hAnsi="仿宋_GB2312" w:cs="仿宋_GB2312" w:eastAsia="仿宋_GB2312"/>
              </w:rPr>
              <w:t>根据供应商针对本项目有详细的检后服务承诺、服务条款、保证检后服务质量措施等进行评审： 检后服务方案齐全，内容科学合理、满足项目要求，合理性、针对性强得3.1-5分； 检后服务方案齐全，内容有一定的可行性，基本满足项目要求，具有一定的合理性、针对性得1.1-3分； 检后服务方案不齐全，内容有缺项、漏项，针对性稍有欠缺的得0-1分。 未提供的得0分。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检后服务措施.docx</w:t>
            </w:r>
          </w:p>
        </w:tc>
      </w:tr>
      <w:tr>
        <w:tc>
          <w:tcPr>
            <w:tcW w:type="dxa" w:w="831"/>
            <w:vMerge/>
          </w:tcPr>
          <w:p/>
        </w:tc>
        <w:tc>
          <w:tcPr>
            <w:tcW w:type="dxa" w:w="1661"/>
          </w:tcPr>
          <w:p>
            <w:pPr>
              <w:pStyle w:val="null3"/>
            </w:pPr>
            <w:r>
              <w:rPr>
                <w:rFonts w:ascii="仿宋_GB2312" w:hAnsi="仿宋_GB2312" w:cs="仿宋_GB2312" w:eastAsia="仿宋_GB2312"/>
              </w:rPr>
              <w:t>增值服务方案</w:t>
            </w:r>
          </w:p>
        </w:tc>
        <w:tc>
          <w:tcPr>
            <w:tcW w:type="dxa" w:w="2492"/>
          </w:tcPr>
          <w:p>
            <w:pPr>
              <w:pStyle w:val="null3"/>
            </w:pPr>
            <w:r>
              <w:rPr>
                <w:rFonts w:ascii="仿宋_GB2312" w:hAnsi="仿宋_GB2312" w:cs="仿宋_GB2312" w:eastAsia="仿宋_GB2312"/>
              </w:rPr>
              <w:t>根据供应商所提供的针对本项目的增值服务方案(提供中式营养早餐，包括但不限于包子、稀饭、豆浆、鸡蛋、小菜等；需复查或做额外的深度检查的优惠政策等)进行评审： 增值服务方案齐全，内容科学合理、满足项目要求，合理性、针对性强得3.1-5分； 增值服务方案齐全，内容有一定的可行性，基本满足项目要求，具有一定的合理性、针对性得1.1-3分； 增值服务方案不齐全，内容有缺项、漏项，针对性稍有欠缺的得0-1分。 未提供的得0分。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增值服务方案.docx</w:t>
            </w:r>
          </w:p>
        </w:tc>
      </w:tr>
      <w:tr>
        <w:tc>
          <w:tcPr>
            <w:tcW w:type="dxa" w:w="831"/>
            <w:vMerge/>
          </w:tcP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供应商提供2022年6月1日至今类似业绩证明材料，每提供1项有效业绩证明材料的计2分，满分为10分； 备注：业绩证明材料以合同的复印件或扫描件加盖公章为准，时间以合同签订时间为准，业绩证明材料不符合要求的不得分。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类似业绩.docx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响应报价得分采用低价优先法计算，即满足磋商文件要求且报价最低（男性在职及离退休人员单价报价+女性在职及离退休人员单价报价+男性高层次人才单价报价+女性高层次人报价之和）的作为评审基准价，其价格分为满分。其他供应商的价格分统一按照下列公式计算：磋商报价得分=【评审基准价/磋商报价】×15。 重要说明： 1.评审时以供应商所填报的“男性在职及离退休人员体检套餐单价响应金额+女性在职及离退休人员体检套餐单价响应金额+男性高层次人才体检套餐单价响应金额+女性高层次人才体检套餐单价响应金额”之和参与价格分的评审； 2.本项目体检套餐采购单价限价为： （1）男性在职及离退休人员体检套餐单价限价为人民币500元/人/次； （2）女性在职及离退休人员体检套餐单价限价为人民币600元/人/次； （3）男性高层次人才体检套餐单价限价为人民币1600元/人/次； （4）女性高层次人才体检套餐单价限价为人民币1600元/人/次。</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分项报价清单.docx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10.00%的扣除，用扣除后的价格参加评审。承接本项目的供应商符合相应条件时，给予10.00%的价格扣除，即：评标价=最后报价×（1-10.00%）;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详见附件：电子化查询服务方案.docx</w:t>
      </w:r>
    </w:p>
    <w:p>
      <w:pPr>
        <w:pStyle w:val="null3"/>
        <w:ind w:firstLine="960"/>
      </w:pPr>
      <w:r>
        <w:rPr>
          <w:rFonts w:ascii="仿宋_GB2312" w:hAnsi="仿宋_GB2312" w:cs="仿宋_GB2312" w:eastAsia="仿宋_GB2312"/>
        </w:rPr>
        <w:t>详见附件：对体检发现的危急重症患者提供急救及转诊绿色通道等方案.docx</w:t>
      </w:r>
    </w:p>
    <w:p>
      <w:pPr>
        <w:pStyle w:val="null3"/>
        <w:ind w:firstLine="960"/>
      </w:pPr>
      <w:r>
        <w:rPr>
          <w:rFonts w:ascii="仿宋_GB2312" w:hAnsi="仿宋_GB2312" w:cs="仿宋_GB2312" w:eastAsia="仿宋_GB2312"/>
        </w:rPr>
        <w:t>详见附件：分项报价清单.docx</w:t>
      </w:r>
    </w:p>
    <w:p>
      <w:pPr>
        <w:pStyle w:val="null3"/>
        <w:ind w:firstLine="960"/>
      </w:pPr>
      <w:r>
        <w:rPr>
          <w:rFonts w:ascii="仿宋_GB2312" w:hAnsi="仿宋_GB2312" w:cs="仿宋_GB2312" w:eastAsia="仿宋_GB2312"/>
        </w:rPr>
        <w:t>详见附件：服务质量措施方案.docx</w:t>
      </w:r>
    </w:p>
    <w:p>
      <w:pPr>
        <w:pStyle w:val="null3"/>
        <w:ind w:firstLine="960"/>
      </w:pPr>
      <w:r>
        <w:rPr>
          <w:rFonts w:ascii="仿宋_GB2312" w:hAnsi="仿宋_GB2312" w:cs="仿宋_GB2312" w:eastAsia="仿宋_GB2312"/>
        </w:rPr>
        <w:t>详见附件：供应商应提交的相关资格证明文件.docx</w:t>
      </w:r>
    </w:p>
    <w:p>
      <w:pPr>
        <w:pStyle w:val="null3"/>
        <w:ind w:firstLine="960"/>
      </w:pPr>
      <w:r>
        <w:rPr>
          <w:rFonts w:ascii="仿宋_GB2312" w:hAnsi="仿宋_GB2312" w:cs="仿宋_GB2312" w:eastAsia="仿宋_GB2312"/>
        </w:rPr>
        <w:t>详见附件：管理制度及投诉处理措施、补救措施方案.docx</w:t>
      </w:r>
    </w:p>
    <w:p>
      <w:pPr>
        <w:pStyle w:val="null3"/>
        <w:ind w:firstLine="960"/>
      </w:pPr>
      <w:r>
        <w:rPr>
          <w:rFonts w:ascii="仿宋_GB2312" w:hAnsi="仿宋_GB2312" w:cs="仿宋_GB2312" w:eastAsia="仿宋_GB2312"/>
        </w:rPr>
        <w:t>详见附件：合理化建议.docx</w:t>
      </w:r>
    </w:p>
    <w:p>
      <w:pPr>
        <w:pStyle w:val="null3"/>
        <w:ind w:firstLine="960"/>
      </w:pPr>
      <w:r>
        <w:rPr>
          <w:rFonts w:ascii="仿宋_GB2312" w:hAnsi="仿宋_GB2312" w:cs="仿宋_GB2312" w:eastAsia="仿宋_GB2312"/>
        </w:rPr>
        <w:t>详见附件：检后服务措施.docx</w:t>
      </w:r>
    </w:p>
    <w:p>
      <w:pPr>
        <w:pStyle w:val="null3"/>
        <w:ind w:firstLine="960"/>
      </w:pPr>
      <w:r>
        <w:rPr>
          <w:rFonts w:ascii="仿宋_GB2312" w:hAnsi="仿宋_GB2312" w:cs="仿宋_GB2312" w:eastAsia="仿宋_GB2312"/>
        </w:rPr>
        <w:t>详见附件：接送的服务方案.docx</w:t>
      </w:r>
    </w:p>
    <w:p>
      <w:pPr>
        <w:pStyle w:val="null3"/>
        <w:ind w:firstLine="960"/>
      </w:pPr>
      <w:r>
        <w:rPr>
          <w:rFonts w:ascii="仿宋_GB2312" w:hAnsi="仿宋_GB2312" w:cs="仿宋_GB2312" w:eastAsia="仿宋_GB2312"/>
        </w:rPr>
        <w:t>详见附件：类似业绩.docx</w:t>
      </w:r>
    </w:p>
    <w:p>
      <w:pPr>
        <w:pStyle w:val="null3"/>
        <w:ind w:firstLine="960"/>
      </w:pPr>
      <w:r>
        <w:rPr>
          <w:rFonts w:ascii="仿宋_GB2312" w:hAnsi="仿宋_GB2312" w:cs="仿宋_GB2312" w:eastAsia="仿宋_GB2312"/>
        </w:rPr>
        <w:t>详见附件：拟派团队人员清单.docx</w:t>
      </w:r>
    </w:p>
    <w:p>
      <w:pPr>
        <w:pStyle w:val="null3"/>
        <w:ind w:firstLine="960"/>
      </w:pPr>
      <w:r>
        <w:rPr>
          <w:rFonts w:ascii="仿宋_GB2312" w:hAnsi="仿宋_GB2312" w:cs="仿宋_GB2312" w:eastAsia="仿宋_GB2312"/>
        </w:rPr>
        <w:t>详见附件：增值服务方案.docx</w:t>
      </w:r>
    </w:p>
    <w:p>
      <w:pPr>
        <w:pStyle w:val="null3"/>
        <w:ind w:firstLine="960"/>
      </w:pPr>
      <w:r>
        <w:rPr>
          <w:rFonts w:ascii="仿宋_GB2312" w:hAnsi="仿宋_GB2312" w:cs="仿宋_GB2312" w:eastAsia="仿宋_GB2312"/>
        </w:rPr>
        <w:t>详见附件：体检设备配备表.docx</w:t>
      </w:r>
    </w:p>
    <w:p>
      <w:pPr>
        <w:pStyle w:val="null3"/>
        <w:ind w:firstLine="960"/>
      </w:pPr>
      <w:r>
        <w:rPr>
          <w:rFonts w:ascii="仿宋_GB2312" w:hAnsi="仿宋_GB2312" w:cs="仿宋_GB2312" w:eastAsia="仿宋_GB2312"/>
        </w:rPr>
        <w:t>详见附件：体检套餐方案.docx</w:t>
      </w:r>
    </w:p>
    <w:p>
      <w:pPr>
        <w:pStyle w:val="null3"/>
        <w:ind w:firstLine="960"/>
      </w:pPr>
      <w:r>
        <w:rPr>
          <w:rFonts w:ascii="仿宋_GB2312" w:hAnsi="仿宋_GB2312" w:cs="仿宋_GB2312" w:eastAsia="仿宋_GB2312"/>
        </w:rPr>
        <w:t>详见附件：信息隐私性相关服务及保障措施.docx</w:t>
      </w:r>
    </w:p>
    <w:p>
      <w:pPr>
        <w:pStyle w:val="null3"/>
        <w:ind w:firstLine="960"/>
      </w:pPr>
      <w:r>
        <w:rPr>
          <w:rFonts w:ascii="仿宋_GB2312" w:hAnsi="仿宋_GB2312" w:cs="仿宋_GB2312" w:eastAsia="仿宋_GB2312"/>
        </w:rPr>
        <w:t>详见附件：应急处理措施及解决方案.docx</w:t>
      </w:r>
    </w:p>
    <w:p>
      <w:pPr>
        <w:pStyle w:val="null3"/>
        <w:ind w:firstLine="960"/>
      </w:pPr>
      <w:r>
        <w:rPr>
          <w:rFonts w:ascii="仿宋_GB2312" w:hAnsi="仿宋_GB2312" w:cs="仿宋_GB2312" w:eastAsia="仿宋_GB2312"/>
        </w:rPr>
        <w:t>详见附件：总体服务方案和工作流程.docx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