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版本号：HHGJZC2025-CS298.20250624001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2025年度教职工体检服务采购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HHGJZC2025-CS298.</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2025年度教职工体检服务采购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HHGJZC2025-CS298.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2025年度教职工体检服务采购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学校西安校区及咸阳校区教职工体检服务采购。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w:t>
      </w:r>
    </w:p>
    <w:p>
      <w:pPr>
        <w:pStyle w:val="null3"/>
      </w:pPr>
      <w:r>
        <w:rPr>
          <w:rFonts w:ascii="仿宋_GB2312" w:hAnsi="仿宋_GB2312" w:cs="仿宋_GB2312" w:eastAsia="仿宋_GB2312"/>
        </w:rPr>
        <w:t>3、医疗资质：供应商为三级甲等医院；供应商具有有效的《医疗机构执业许可证》、《辐射安全许可证》、《放射诊疗许可证》（已办理多证合一的，只须提供诊疗科目含放射诊断或放射治疗的《医疗机构执业许可证》即可）</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w:t>
      </w:r>
    </w:p>
    <w:p>
      <w:pPr>
        <w:pStyle w:val="null3"/>
      </w:pPr>
      <w:r>
        <w:rPr>
          <w:rFonts w:ascii="仿宋_GB2312" w:hAnsi="仿宋_GB2312" w:cs="仿宋_GB2312" w:eastAsia="仿宋_GB2312"/>
        </w:rPr>
        <w:t>3、医疗资质：供应商为三级甲等医院；供应商具有有效的《医疗机构执业许可证》、《辐射安全许可证》、《放射诊疗许可证》（已办理多证合一的，只须提供诊疗科目含放射诊断或放射治疗的《医疗机构执业许可证》即可）</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采购包1：2,120,000.00元</w:t>
            </w:r>
          </w:p>
          <w:p>
            <w:pPr>
              <w:pStyle w:val="null3"/>
            </w:pPr>
            <w:r>
              <w:rPr>
                <w:rFonts w:ascii="仿宋_GB2312" w:hAnsi="仿宋_GB2312" w:cs="仿宋_GB2312" w:eastAsia="仿宋_GB2312"/>
              </w:rPr>
              <w:t>采购包2：560,000.00元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的65%执行。 成交单位在领取成交通知书前，须向采购代理机构一次性支付代理服务费。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符合国家有关标准。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学校西安校区及咸阳校区教职工体检服务采购。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2,120,000.00</w:t>
      </w:r>
    </w:p>
    <w:p>
      <w:pPr>
        <w:pStyle w:val="null3"/>
      </w:pPr>
      <w:r>
        <w:rPr>
          <w:rFonts w:ascii="仿宋_GB2312" w:hAnsi="仿宋_GB2312" w:cs="仿宋_GB2312" w:eastAsia="仿宋_GB2312"/>
        </w:rPr>
        <w:t>采购包最高限价（元）: 2,120,000.00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西安校区教职工体检</w:t>
            </w:r>
          </w:p>
        </w:tc>
        <w:tc>
          <w:tcPr>
            <w:tcW w:type="dxa" w:w="831"/>
          </w:tcPr>
          <w:p>
            <w:pPr>
              <w:pStyle w:val="null3"/>
              <w:jc w:val="right"/>
            </w:pPr>
            <w:r>
              <w:rPr>
                <w:rFonts w:ascii="仿宋_GB2312" w:hAnsi="仿宋_GB2312" w:cs="仿宋_GB2312" w:eastAsia="仿宋_GB2312"/>
              </w:rPr>
              <w:t>2,650.00</w:t>
            </w:r>
          </w:p>
        </w:tc>
        <w:tc>
          <w:tcPr>
            <w:tcW w:type="dxa" w:w="831"/>
          </w:tcPr>
          <w:p>
            <w:pPr>
              <w:pStyle w:val="null3"/>
              <w:jc w:val="right"/>
            </w:pPr>
            <w:r>
              <w:rPr>
                <w:rFonts w:ascii="仿宋_GB2312" w:hAnsi="仿宋_GB2312" w:cs="仿宋_GB2312" w:eastAsia="仿宋_GB2312"/>
              </w:rPr>
              <w:t>2,120,000.00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咸阳校区体检服务</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标的名称：西安校区教职工体检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人数：约</w:t>
            </w:r>
            <w:r>
              <w:rPr>
                <w:rFonts w:ascii="仿宋_GB2312" w:hAnsi="仿宋_GB2312" w:cs="仿宋_GB2312" w:eastAsia="仿宋_GB2312"/>
                <w:sz w:val="20"/>
              </w:rPr>
              <w:t>2650人（具体人数以实际参加体检人数为准）</w:t>
            </w:r>
          </w:p>
          <w:p>
            <w:pPr>
              <w:pStyle w:val="null3"/>
              <w:ind w:right="-225"/>
              <w:jc w:val="left"/>
            </w:pPr>
            <w:r>
              <w:rPr>
                <w:rFonts w:ascii="仿宋_GB2312" w:hAnsi="仿宋_GB2312" w:cs="仿宋_GB2312" w:eastAsia="仿宋_GB2312"/>
                <w:sz w:val="20"/>
              </w:rPr>
              <w:t>（一）体检项目</w:t>
            </w:r>
          </w:p>
          <w:tbl>
            <w:tblPr>
              <w:tblInd w:type="dxa" w:w="210"/>
              <w:tblBorders>
                <w:top w:val="none" w:color="000000" w:sz="4"/>
                <w:left w:val="none" w:color="000000" w:sz="4"/>
                <w:bottom w:val="none" w:color="000000" w:sz="4"/>
                <w:right w:val="none" w:color="000000" w:sz="4"/>
                <w:insideH w:val="none"/>
                <w:insideV w:val="none"/>
              </w:tblBorders>
            </w:tblPr>
            <w:tblGrid>
              <w:gridCol w:w="376"/>
              <w:gridCol w:w="991"/>
              <w:gridCol w:w="590"/>
              <w:gridCol w:w="590"/>
            </w:tblGrid>
            <w:tr>
              <w:tc>
                <w:tcPr>
                  <w:tcW w:type="dxa" w:w="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9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项目名称</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男</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女</w:t>
                  </w:r>
                </w:p>
              </w:tc>
            </w:tr>
            <w:tr>
              <w:tc>
                <w:tcPr>
                  <w:tcW w:type="dxa" w:w="25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基础项目</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一般检查</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内科</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外科</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耳鼻喉</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眼科常规</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眼底检查</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血常规（五分类）</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尿常规（十一项）</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肝功（十一项）</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肾功能（四项）</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血脂（四项）</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空腹血糖</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心电图</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腹部</w:t>
                  </w:r>
                  <w:r>
                    <w:rPr>
                      <w:rFonts w:ascii="仿宋_GB2312" w:hAnsi="仿宋_GB2312" w:cs="仿宋_GB2312" w:eastAsia="仿宋_GB2312"/>
                      <w:sz w:val="20"/>
                      <w:color w:val="000000"/>
                    </w:rPr>
                    <w:t>B超（男）</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腹部</w:t>
                  </w:r>
                  <w:r>
                    <w:rPr>
                      <w:rFonts w:ascii="仿宋_GB2312" w:hAnsi="仿宋_GB2312" w:cs="仿宋_GB2312" w:eastAsia="仿宋_GB2312"/>
                      <w:sz w:val="20"/>
                      <w:color w:val="000000"/>
                    </w:rPr>
                    <w:t>B超（女）</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泌尿系彩超（男）</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乳腺</w:t>
                  </w:r>
                  <w:r>
                    <w:rPr>
                      <w:rFonts w:ascii="仿宋_GB2312" w:hAnsi="仿宋_GB2312" w:cs="仿宋_GB2312" w:eastAsia="仿宋_GB2312"/>
                      <w:sz w:val="20"/>
                      <w:color w:val="000000"/>
                    </w:rPr>
                    <w:t>B超</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子宫附件</w:t>
                  </w:r>
                  <w:r>
                    <w:rPr>
                      <w:rFonts w:ascii="仿宋_GB2312" w:hAnsi="仿宋_GB2312" w:cs="仿宋_GB2312" w:eastAsia="仿宋_GB2312"/>
                      <w:sz w:val="20"/>
                      <w:color w:val="000000"/>
                    </w:rPr>
                    <w:t>B超</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妇科</w:t>
                  </w:r>
                  <w:r>
                    <w:rPr>
                      <w:rFonts w:ascii="仿宋_GB2312" w:hAnsi="仿宋_GB2312" w:cs="仿宋_GB2312" w:eastAsia="仿宋_GB2312"/>
                      <w:sz w:val="20"/>
                      <w:color w:val="000000"/>
                    </w:rPr>
                    <w:t>+白带常规</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胸部正位片</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宫颈液基薄层细胞学检查（</w:t>
                  </w:r>
                  <w:r>
                    <w:rPr>
                      <w:rFonts w:ascii="仿宋_GB2312" w:hAnsi="仿宋_GB2312" w:cs="仿宋_GB2312" w:eastAsia="仿宋_GB2312"/>
                      <w:sz w:val="20"/>
                      <w:color w:val="000000"/>
                    </w:rPr>
                    <w:t>TCT)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甲胎蛋白</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癌胚抗原</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25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特色项目</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9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项目名称</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男</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女</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甲状腺</w:t>
                  </w:r>
                  <w:r>
                    <w:rPr>
                      <w:rFonts w:ascii="仿宋_GB2312" w:hAnsi="仿宋_GB2312" w:cs="仿宋_GB2312" w:eastAsia="仿宋_GB2312"/>
                      <w:sz w:val="20"/>
                      <w:color w:val="000000"/>
                    </w:rPr>
                    <w:t>B超</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骨密度</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幽门螺旋杆菌检测</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糖化血红蛋白</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心脏彩超</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颈动脉彩超</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bl>
          <w:p>
            <w:pPr>
              <w:pStyle w:val="null3"/>
              <w:ind w:right="-225"/>
              <w:jc w:val="left"/>
            </w:pPr>
            <w:r>
              <w:rPr>
                <w:rFonts w:ascii="仿宋_GB2312" w:hAnsi="仿宋_GB2312" w:cs="仿宋_GB2312" w:eastAsia="仿宋_GB2312"/>
                <w:sz w:val="20"/>
              </w:rPr>
              <w:t>（二）体检要求</w:t>
            </w:r>
          </w:p>
          <w:p>
            <w:pPr>
              <w:pStyle w:val="null3"/>
              <w:ind w:right="-225"/>
              <w:jc w:val="left"/>
            </w:pPr>
            <w:r>
              <w:rPr>
                <w:rFonts w:ascii="仿宋_GB2312" w:hAnsi="仿宋_GB2312" w:cs="仿宋_GB2312" w:eastAsia="仿宋_GB2312"/>
                <w:sz w:val="20"/>
              </w:rPr>
              <w:t>1、体检结果纳入计算机管理（数据保存3年以上），并保证体检信息不外泄；</w:t>
            </w:r>
          </w:p>
          <w:p>
            <w:pPr>
              <w:pStyle w:val="null3"/>
              <w:ind w:right="-225"/>
              <w:jc w:val="left"/>
            </w:pPr>
            <w:r>
              <w:rPr>
                <w:rFonts w:ascii="仿宋_GB2312" w:hAnsi="仿宋_GB2312" w:cs="仿宋_GB2312" w:eastAsia="仿宋_GB2312"/>
                <w:sz w:val="20"/>
              </w:rPr>
              <w:t>2、体检工作结束后，15个工作日内，提供纸质版体检报告和电子版体检报告。体检报告应当密封，以保护个人隐私；</w:t>
            </w:r>
          </w:p>
          <w:p>
            <w:pPr>
              <w:pStyle w:val="null3"/>
              <w:ind w:right="-225"/>
              <w:jc w:val="left"/>
            </w:pPr>
            <w:r>
              <w:rPr>
                <w:rFonts w:ascii="仿宋_GB2312" w:hAnsi="仿宋_GB2312" w:cs="仿宋_GB2312" w:eastAsia="仿宋_GB2312"/>
                <w:sz w:val="20"/>
              </w:rPr>
              <w:t>3、体检者可随时查阅自己的健康档案；</w:t>
            </w:r>
          </w:p>
          <w:p>
            <w:pPr>
              <w:pStyle w:val="null3"/>
              <w:jc w:val="both"/>
            </w:pPr>
            <w:r>
              <w:rPr>
                <w:rFonts w:ascii="仿宋_GB2312" w:hAnsi="仿宋_GB2312" w:cs="仿宋_GB2312" w:eastAsia="仿宋_GB2312"/>
                <w:sz w:val="20"/>
              </w:rPr>
              <w:t>4、为体检单位提供全体员工体检总结、分析报告，以便学校全面客观掌握全体员工健康状况。</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标的名称：咸阳校区体检服务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人数：</w:t>
            </w:r>
            <w:r>
              <w:rPr>
                <w:rFonts w:ascii="仿宋_GB2312" w:hAnsi="仿宋_GB2312" w:cs="仿宋_GB2312" w:eastAsia="仿宋_GB2312"/>
                <w:sz w:val="20"/>
              </w:rPr>
              <w:t>700人（具体人数以实际参加体检人数为准）</w:t>
            </w:r>
          </w:p>
          <w:p>
            <w:pPr>
              <w:pStyle w:val="null3"/>
              <w:ind w:right="-225"/>
              <w:jc w:val="left"/>
            </w:pPr>
            <w:r>
              <w:rPr>
                <w:rFonts w:ascii="仿宋_GB2312" w:hAnsi="仿宋_GB2312" w:cs="仿宋_GB2312" w:eastAsia="仿宋_GB2312"/>
                <w:sz w:val="20"/>
              </w:rPr>
              <w:t>（一）体检项目</w:t>
            </w:r>
          </w:p>
          <w:tbl>
            <w:tblPr>
              <w:tblInd w:type="dxa" w:w="210"/>
              <w:tblBorders>
                <w:top w:val="none" w:color="000000" w:sz="4"/>
                <w:left w:val="none" w:color="000000" w:sz="4"/>
                <w:bottom w:val="none" w:color="000000" w:sz="4"/>
                <w:right w:val="none" w:color="000000" w:sz="4"/>
                <w:insideH w:val="none"/>
                <w:insideV w:val="none"/>
              </w:tblBorders>
            </w:tblPr>
            <w:tblGrid>
              <w:gridCol w:w="376"/>
              <w:gridCol w:w="991"/>
              <w:gridCol w:w="590"/>
              <w:gridCol w:w="590"/>
            </w:tblGrid>
            <w:tr>
              <w:tc>
                <w:tcPr>
                  <w:tcW w:type="dxa" w:w="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9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项目名称</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男</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女</w:t>
                  </w:r>
                </w:p>
              </w:tc>
            </w:tr>
            <w:tr>
              <w:tc>
                <w:tcPr>
                  <w:tcW w:type="dxa" w:w="25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基础项目</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一般检查</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内科</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外科</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耳鼻喉</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眼科常规</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眼底检查</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血常规（五分类）</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尿常规（十一项）</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肝功（十一项）</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肾功能（四项）</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血脂（四项）</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空腹血糖</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心电图</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腹部</w:t>
                  </w:r>
                  <w:r>
                    <w:rPr>
                      <w:rFonts w:ascii="仿宋_GB2312" w:hAnsi="仿宋_GB2312" w:cs="仿宋_GB2312" w:eastAsia="仿宋_GB2312"/>
                      <w:sz w:val="20"/>
                      <w:color w:val="000000"/>
                    </w:rPr>
                    <w:t>B超（男）</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腹部</w:t>
                  </w:r>
                  <w:r>
                    <w:rPr>
                      <w:rFonts w:ascii="仿宋_GB2312" w:hAnsi="仿宋_GB2312" w:cs="仿宋_GB2312" w:eastAsia="仿宋_GB2312"/>
                      <w:sz w:val="20"/>
                      <w:color w:val="000000"/>
                    </w:rPr>
                    <w:t>B超（女）</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泌尿系彩超（男）</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乳腺</w:t>
                  </w:r>
                  <w:r>
                    <w:rPr>
                      <w:rFonts w:ascii="仿宋_GB2312" w:hAnsi="仿宋_GB2312" w:cs="仿宋_GB2312" w:eastAsia="仿宋_GB2312"/>
                      <w:sz w:val="20"/>
                      <w:color w:val="000000"/>
                    </w:rPr>
                    <w:t>B超</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子宫附件</w:t>
                  </w:r>
                  <w:r>
                    <w:rPr>
                      <w:rFonts w:ascii="仿宋_GB2312" w:hAnsi="仿宋_GB2312" w:cs="仿宋_GB2312" w:eastAsia="仿宋_GB2312"/>
                      <w:sz w:val="20"/>
                      <w:color w:val="000000"/>
                    </w:rPr>
                    <w:t>B超</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妇科</w:t>
                  </w:r>
                  <w:r>
                    <w:rPr>
                      <w:rFonts w:ascii="仿宋_GB2312" w:hAnsi="仿宋_GB2312" w:cs="仿宋_GB2312" w:eastAsia="仿宋_GB2312"/>
                      <w:sz w:val="20"/>
                      <w:color w:val="000000"/>
                    </w:rPr>
                    <w:t>+白带常规</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胸部正位片</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宫颈液基薄层细胞学检查（</w:t>
                  </w:r>
                  <w:r>
                    <w:rPr>
                      <w:rFonts w:ascii="仿宋_GB2312" w:hAnsi="仿宋_GB2312" w:cs="仿宋_GB2312" w:eastAsia="仿宋_GB2312"/>
                      <w:sz w:val="20"/>
                      <w:color w:val="000000"/>
                    </w:rPr>
                    <w:t>TCT)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甲胎蛋白</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癌胚抗原</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25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特色项目</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9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项目名称</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男</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女</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甲状腺</w:t>
                  </w:r>
                  <w:r>
                    <w:rPr>
                      <w:rFonts w:ascii="仿宋_GB2312" w:hAnsi="仿宋_GB2312" w:cs="仿宋_GB2312" w:eastAsia="仿宋_GB2312"/>
                      <w:sz w:val="20"/>
                      <w:color w:val="000000"/>
                    </w:rPr>
                    <w:t>B超</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骨密度</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幽门螺旋杆菌检测</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糖化血红蛋白</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心脏彩超</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颈动脉彩超</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r>
          </w:tbl>
          <w:p>
            <w:pPr>
              <w:pStyle w:val="null3"/>
              <w:ind w:right="-225"/>
              <w:jc w:val="left"/>
            </w:pPr>
            <w:r>
              <w:rPr>
                <w:rFonts w:ascii="仿宋_GB2312" w:hAnsi="仿宋_GB2312" w:cs="仿宋_GB2312" w:eastAsia="仿宋_GB2312"/>
                <w:sz w:val="20"/>
              </w:rPr>
              <w:t>（二）体检要求</w:t>
            </w:r>
          </w:p>
          <w:p>
            <w:pPr>
              <w:pStyle w:val="null3"/>
              <w:ind w:right="-225"/>
              <w:jc w:val="left"/>
            </w:pPr>
            <w:r>
              <w:rPr>
                <w:rFonts w:ascii="仿宋_GB2312" w:hAnsi="仿宋_GB2312" w:cs="仿宋_GB2312" w:eastAsia="仿宋_GB2312"/>
                <w:sz w:val="20"/>
              </w:rPr>
              <w:t>1、体检结果纳入计算机管理（数据保存3年以上），并保证体检信息不外泄；</w:t>
            </w:r>
          </w:p>
          <w:p>
            <w:pPr>
              <w:pStyle w:val="null3"/>
              <w:ind w:right="-225"/>
              <w:jc w:val="left"/>
            </w:pPr>
            <w:r>
              <w:rPr>
                <w:rFonts w:ascii="仿宋_GB2312" w:hAnsi="仿宋_GB2312" w:cs="仿宋_GB2312" w:eastAsia="仿宋_GB2312"/>
                <w:sz w:val="20"/>
              </w:rPr>
              <w:t>2、体检工作结束后，15个工作日内，提供纸质版体检报告和电子版体检报告。体检报告应当密封，以保护个人隐私；</w:t>
            </w:r>
          </w:p>
          <w:p>
            <w:pPr>
              <w:pStyle w:val="null3"/>
              <w:ind w:right="-225"/>
              <w:jc w:val="left"/>
            </w:pPr>
            <w:r>
              <w:rPr>
                <w:rFonts w:ascii="仿宋_GB2312" w:hAnsi="仿宋_GB2312" w:cs="仿宋_GB2312" w:eastAsia="仿宋_GB2312"/>
                <w:sz w:val="20"/>
              </w:rPr>
              <w:t>3、体检者可随时查阅自己的健康档案；</w:t>
            </w:r>
          </w:p>
          <w:p>
            <w:pPr>
              <w:pStyle w:val="null3"/>
              <w:jc w:val="both"/>
            </w:pPr>
            <w:r>
              <w:rPr>
                <w:rFonts w:ascii="仿宋_GB2312" w:hAnsi="仿宋_GB2312" w:cs="仿宋_GB2312" w:eastAsia="仿宋_GB2312"/>
                <w:sz w:val="20"/>
              </w:rPr>
              <w:t>4、为体检单位提供全体员工体检总结、分析报告，以便学校全面客观掌握全体员工健康状况。</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1.本项目报价采用固定价格，故价格分不列为评审因素，本项目固定报价为800元/人，不接受其他报价，如未响应，按无效文件处理。 2.采购包1投标人体检中心所在地必须在西安市城六区。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1.本项目报价采用固定价格，故价格分不列为评审因素，本项目固定报价为800元/人，不接受其他报价，如未响应，按无效文件处理。 2.采购包2投标人体检中心所在地必须在咸阳市秦都区或者渭城区。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服务时限不超过3年；合同一年一签，双方合作无异议，续签下一年度合同； 体检工作于当年10月底之前完成。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服务时限不超过3年；合同一年一签，双方合作无异议，续签下一年度合同； 体检工作于当年10月底之前完成。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中标人体检中心所在地</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中标人体检中心所在地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当年度体检服务完成后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当年度体检服务完成后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根据中华人民共和国财政部令第102号《政府购买服务管理办法》第二十四条“政府购买服务合同履行期限一般不超过1年;在预算保障的前提下，对于购买内容相对固定、连续性强、经费来源稳定、价格变化幅度小的政府购买服务项目，可以签订履行期限不超过3年的政府购买服务合同”，本项目合同签订一年，如合同续签，可参照本次招标服务内容及要求施行。 2.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残疾人福利性单位声明函 中小企业声明函 服务内容及服务要求应答表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服务内容及服务邀请应答表 中小企业声明函 残疾人福利性单位声明函 响应函 资格证明文件.docx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医疗资质</w:t>
            </w:r>
          </w:p>
        </w:tc>
        <w:tc>
          <w:tcPr>
            <w:tcW w:type="dxa" w:w="3322"/>
          </w:tcPr>
          <w:p>
            <w:pPr>
              <w:pStyle w:val="null3"/>
            </w:pPr>
            <w:r>
              <w:rPr>
                <w:rFonts w:ascii="仿宋_GB2312" w:hAnsi="仿宋_GB2312" w:cs="仿宋_GB2312" w:eastAsia="仿宋_GB2312"/>
              </w:rPr>
              <w:t>供应商为三级甲等医院；供应商具有有效的《医疗机构执业许可证》、《辐射安全许可证》、《放射诊疗许可证》（已办理多证合一的，只须提供诊疗科目含放射诊断或放射治疗的《医疗机构执业许可证》即可）</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医疗资质</w:t>
            </w:r>
          </w:p>
        </w:tc>
        <w:tc>
          <w:tcPr>
            <w:tcW w:type="dxa" w:w="3322"/>
          </w:tcPr>
          <w:p>
            <w:pPr>
              <w:pStyle w:val="null3"/>
            </w:pPr>
            <w:r>
              <w:rPr>
                <w:rFonts w:ascii="仿宋_GB2312" w:hAnsi="仿宋_GB2312" w:cs="仿宋_GB2312" w:eastAsia="仿宋_GB2312"/>
              </w:rPr>
              <w:t>供应商为三级甲等医院；供应商具有有效的《医疗机构执业许可证》、《辐射安全许可证》、《放射诊疗许可证》（已办理多证合一的，只须提供诊疗科目含放射诊断或放射治疗的《医疗机构执业许可证》即可）</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体检项目响应</w:t>
            </w:r>
          </w:p>
        </w:tc>
        <w:tc>
          <w:tcPr>
            <w:tcW w:type="dxa" w:w="2492"/>
          </w:tcPr>
          <w:p>
            <w:pPr>
              <w:pStyle w:val="null3"/>
            </w:pPr>
            <w:r>
              <w:rPr>
                <w:rFonts w:ascii="仿宋_GB2312" w:hAnsi="仿宋_GB2312" w:cs="仿宋_GB2312" w:eastAsia="仿宋_GB2312"/>
              </w:rPr>
              <w:t>能够响应全部基础体检项目的，得18分；每少提供一项扣1分，扣完为止；能够提供特色体检项目的，或者提供本文件所列出的特色体检项目之外的，每提供一项加2分，最多加12分。（提供本文件所列出的特色体检项目之外的项目，须经评审专家认定具有实际意义，方可加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具有符合相关标准的体检场地、规范的服务体系和工作流程，针对本项目需求制订切实可行的整体服务方案，如男女分线、医检分离等方案、时间、场次安排、体检流程等。方案思路清晰、科学合理、切实可行，完全满足采购人需求计20-15.1分；方案基本合理完善，可实施性较强计15-10.1分；方案表述不全，不利于项目实施的计10-0.1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体检设备及人员综合情况</w:t>
            </w:r>
          </w:p>
        </w:tc>
        <w:tc>
          <w:tcPr>
            <w:tcW w:type="dxa" w:w="2492"/>
          </w:tcPr>
          <w:p>
            <w:pPr>
              <w:pStyle w:val="null3"/>
            </w:pPr>
            <w:r>
              <w:rPr>
                <w:rFonts w:ascii="仿宋_GB2312" w:hAnsi="仿宋_GB2312" w:cs="仿宋_GB2312" w:eastAsia="仿宋_GB2312"/>
              </w:rPr>
              <w:t>1.根据供应商体检服务部门专用的设备总体情况以及针对本次体检项目拟使用的的检测仪器、试剂耗材等设备设施清单进行总体评价打分：优的得10-6.1分，良好的得6-3.1分，一般的得3-0.1分。 2.针对本项目提供项目管理组织架构，介绍项目负责人及项目组人员组成（所有人员须经过专业培训且熟悉各项操作事项，需提供相关证书）情况。架构完善，人员配置齐全、岗位分配合理、团队人员经验丰富，完全满足项目需求计10-6.1分；架构完善，人员配置合理，满足项目需求计6-3.1分；人员简单，基本满足项目需求计3-0.1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质量保证、应急方案及承诺</w:t>
            </w:r>
          </w:p>
        </w:tc>
        <w:tc>
          <w:tcPr>
            <w:tcW w:type="dxa" w:w="2492"/>
          </w:tcPr>
          <w:p>
            <w:pPr>
              <w:pStyle w:val="null3"/>
            </w:pPr>
            <w:r>
              <w:rPr>
                <w:rFonts w:ascii="仿宋_GB2312" w:hAnsi="仿宋_GB2312" w:cs="仿宋_GB2312" w:eastAsia="仿宋_GB2312"/>
              </w:rPr>
              <w:t>1.应急预案：供应商须提供针对本项目的应急处理措施及解决方案（如晕血、晕针、低血糖等、供应商仪器故障或因其他人力不可抗拒因素，导致未能按时出具检测报告等）。 2.服务承诺：供应商针对本项目能够提供切实可行的服务承诺，满足采购人要求，提供初次体检及再次咨询就医绿色通道。 3.保密措施：供应商须保证参检人员所有信息数据不得外泄，做好保密工作，有具体的保密措施及承诺。 4.供应商针对本项目在服务期间完全按照采购人要求进行检测、及时出具检测报告等方案。 以上四项根据响应程度计8-0 分，优得8-6.1分，良得6-3.1分，差得3-0.1,未提供的不得分。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提供2022年06月01日至磋商截止时间类似业绩，每提供1个得2分，最高得10分。（供应商自己实施的）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1、为职工超范围或者职工家属参加体检提供优惠，在体检收费标准基础上下浮20%，得1分；在此基础上，每降低1%得1分，满分6分； 2、提供免费早餐且营养搭配合理且有特色，得2分； 3、为教职工提供体检交通便利措施（如班车接送等），得 1分； 4、提供优先预约、专场体检等便捷服务，得 2分。 5、提供团检分析、专家一对一咨询、义诊、健康讲座，得 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体检项目响应</w:t>
            </w:r>
          </w:p>
        </w:tc>
        <w:tc>
          <w:tcPr>
            <w:tcW w:type="dxa" w:w="2492"/>
          </w:tcPr>
          <w:p>
            <w:pPr>
              <w:pStyle w:val="null3"/>
            </w:pPr>
            <w:r>
              <w:rPr>
                <w:rFonts w:ascii="仿宋_GB2312" w:hAnsi="仿宋_GB2312" w:cs="仿宋_GB2312" w:eastAsia="仿宋_GB2312"/>
              </w:rPr>
              <w:t>能够响应全部基础体检项目的，得18分；每少提供一项扣1分，扣完为止；能够提供特色体检项目的，或者提供本文件所列出的特色体检项目之外的，每提供一项加2分，最多加12分。（提供本文件所列出的特色体检项目之外的项目，须经评审专家认定具有实际意义，方可加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具有符合相关标准的体检场地、规范的服务体系和工作流程，针对本项目需求制订切实可行的整体服务方案，如男女分线、医检分离等方案、时间、场次安排、体检流程等。方案思路清晰、科学合理、切实可行，完全满足采购人需求计20-15.1分；方案基本合理完善，可实施性较强计15-10.1分；方案表述不全，不利于项目实施的计10-0.1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体检设备及人员综合情况</w:t>
            </w:r>
          </w:p>
        </w:tc>
        <w:tc>
          <w:tcPr>
            <w:tcW w:type="dxa" w:w="2492"/>
          </w:tcPr>
          <w:p>
            <w:pPr>
              <w:pStyle w:val="null3"/>
            </w:pPr>
            <w:r>
              <w:rPr>
                <w:rFonts w:ascii="仿宋_GB2312" w:hAnsi="仿宋_GB2312" w:cs="仿宋_GB2312" w:eastAsia="仿宋_GB2312"/>
              </w:rPr>
              <w:t>1.根据供应商体检服务部门专用的设备总体情况以及针对本次体检项目拟使用的的检测仪器、试剂耗材等设备设施清单进行总体评价打分：优的得10-6.1分，良好的得6-3.1分，一般的得3-0.1分。 2.针对本项目提供项目管理组织架构，介绍项目负责人及项目组人员组成（所有人员须经过专业培训且熟悉各项操作事项，需提供相关证书）情况。架构完善，人员配置齐全、岗位分配合理、团队人员经验丰富，完全满足项目需求计10-6.1分；架构完善，人员配置合理，满足项目需求计6-3.1分；人员简单，基本满足项目需求计3-0.1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质量保证、应急方案及承诺</w:t>
            </w:r>
          </w:p>
        </w:tc>
        <w:tc>
          <w:tcPr>
            <w:tcW w:type="dxa" w:w="2492"/>
          </w:tcPr>
          <w:p>
            <w:pPr>
              <w:pStyle w:val="null3"/>
            </w:pPr>
            <w:r>
              <w:rPr>
                <w:rFonts w:ascii="仿宋_GB2312" w:hAnsi="仿宋_GB2312" w:cs="仿宋_GB2312" w:eastAsia="仿宋_GB2312"/>
              </w:rPr>
              <w:t>1.应急预案：供应商须提供针对本项目的应急处理措施及解决方案（如晕血、晕针、低血糖等、供应商仪器故障或因其他人力不可抗拒因素，导致未能按时出具检测报告等）。 2.服务承诺：供应商针对本项目能够提供切实可行的服务承诺，满足采购人要求，提供初次体检及再次咨询就医绿色通道。 3.保密措施：供应商须保证参检人员所有信息数据不得外泄，做好保密工作，有具体的保密措施及承诺。 4.供应商针对本项目在服务期间完全按照采购人要求进行检测、及时出具检测报告等方案。 以上四项根据响应程度计8-0 分，优得8-6.1分，良得6-3.1分，差得3-0.1,未提供的不得分。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提供2022年06月01日至磋商截止时间类似业绩，每提供1个得2分，最高得10分。（供应商自己实施的）</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1、为职工超范围或者职工家属参加体检提供优惠，在体检收费标准基础上下浮20%，得1分；在此基础上，每降低1%得1分，满分6分； 2、提供免费早餐且营养搭配合理且有特色，得2分； 3、为教职工提供体检交通便利措施（如班车接送等），得 1分； 4、提供优先预约、专场体检等便捷服务，得 2分。 5、提供团检分析、专家一对一咨询、义诊、健康讲座，得 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