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版本号：XBMH2025-096.1B120250623001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应用系统信创适配方案编制(二次)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XBMH2025-096.1B1</w:t>
      </w:r>
      <w:r>
        <w:br/>
      </w:r>
      <w:r>
        <w:br/>
      </w:r>
      <w:r>
        <w:br/>
      </w:r>
    </w:p>
    <w:p>
      <w:pPr>
        <w:pStyle w:val="null3"/>
        <w:jc w:val="center"/>
        <w:outlineLvl w:val="2"/>
      </w:pPr>
      <w:r>
        <w:rPr>
          <w:rFonts w:ascii="仿宋_GB2312" w:hAnsi="仿宋_GB2312" w:cs="仿宋_GB2312" w:eastAsia="仿宋_GB2312"/>
          <w:sz w:val="28"/>
          <w:b/>
        </w:rPr>
        <w:t>陕西省交通运行监测中心</w:t>
      </w:r>
    </w:p>
    <w:p>
      <w:pPr>
        <w:pStyle w:val="null3"/>
        <w:jc w:val="center"/>
        <w:outlineLvl w:val="2"/>
      </w:pPr>
      <w:r>
        <w:rPr>
          <w:rFonts w:ascii="仿宋_GB2312" w:hAnsi="仿宋_GB2312" w:cs="仿宋_GB2312" w:eastAsia="仿宋_GB2312"/>
          <w:sz w:val="28"/>
          <w:b/>
        </w:rPr>
        <w:t>陕西西北民航工程咨询有限公司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陕西西北民航工程咨询有限公司</w:t>
      </w:r>
      <w:r>
        <w:rPr>
          <w:rFonts w:ascii="仿宋_GB2312" w:hAnsi="仿宋_GB2312" w:cs="仿宋_GB2312" w:eastAsia="仿宋_GB2312"/>
        </w:rPr>
        <w:t>（以下简称“代理机构”）受</w:t>
      </w:r>
      <w:r>
        <w:rPr>
          <w:rFonts w:ascii="仿宋_GB2312" w:hAnsi="仿宋_GB2312" w:cs="仿宋_GB2312" w:eastAsia="仿宋_GB2312"/>
        </w:rPr>
        <w:t>陕西省交通运行监测中心</w:t>
      </w:r>
      <w:r>
        <w:rPr>
          <w:rFonts w:ascii="仿宋_GB2312" w:hAnsi="仿宋_GB2312" w:cs="仿宋_GB2312" w:eastAsia="仿宋_GB2312"/>
        </w:rPr>
        <w:t>委托，拟对</w:t>
      </w:r>
      <w:r>
        <w:rPr>
          <w:rFonts w:ascii="仿宋_GB2312" w:hAnsi="仿宋_GB2312" w:cs="仿宋_GB2312" w:eastAsia="仿宋_GB2312"/>
        </w:rPr>
        <w:t>应用系统信创适配方案编制(二次)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XBMH2025-096.1B1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应用系统信创适配方案编制(二次)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按照省数政局和省厅信息系统信创适配改造工作要求，调研梳理省交通监测中心负责建设、运维的应用系统基本情况，明确迁移目标、适配方案及迁移进度安排，梳理编制系统信创适配迁移改造方案。</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明）</w:t>
      </w:r>
    </w:p>
    <w:p>
      <w:pPr>
        <w:pStyle w:val="null3"/>
      </w:pPr>
      <w:r>
        <w:rPr>
          <w:rFonts w:ascii="仿宋_GB2312" w:hAnsi="仿宋_GB2312" w:cs="仿宋_GB2312" w:eastAsia="仿宋_GB2312"/>
        </w:rPr>
        <w:t>2、财务状况报告：提供2023年度或2024年度经审计的财务报告（包括“四表一注”，即资产负债表、利润表、现金流量表、所有者权益变动表及其附注，成立时间至提交响应文件截止时间不足一年的可提供成立后任意时段的资产负债表） ，或其开标前三个月内基本开户银行出具的资信证明</w:t>
      </w:r>
    </w:p>
    <w:p>
      <w:pPr>
        <w:pStyle w:val="null3"/>
      </w:pPr>
      <w:r>
        <w:rPr>
          <w:rFonts w:ascii="仿宋_GB2312" w:hAnsi="仿宋_GB2312" w:cs="仿宋_GB2312" w:eastAsia="仿宋_GB2312"/>
        </w:rPr>
        <w:t>3、税收缴纳证明：提供磋商前一年内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4、社会保障资金缴存证明：提供磋商前一年内任意时段已缴存的社会保障资金缴存单据或社保机构开具的社会保险参保缴费情况证明；依法不需要缴纳社会保障资金的应提供相关文件证明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5、专业技术能力的声明：提供具有履行本合同所必需的专业技术能力的书面声明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6、无重大违法记录声明：参加本次政府采购活动前3年内在经营活动中没有重大违纪的声明</w:t>
      </w:r>
    </w:p>
    <w:p>
      <w:pPr>
        <w:pStyle w:val="null3"/>
      </w:pPr>
      <w:r>
        <w:rPr>
          <w:rFonts w:ascii="仿宋_GB2312" w:hAnsi="仿宋_GB2312" w:cs="仿宋_GB2312" w:eastAsia="仿宋_GB2312"/>
        </w:rPr>
        <w:t>7、法定代表人（单位负责人）授权委托书：法定代表人（单位负责人）直接参加磋商的，须出具法人身份证明书及身份证；法定代表人（单位负责人）授权代表参加磋商的，须出具法定代表人（单位负责人）授权书及授权代表身份证</w:t>
      </w:r>
    </w:p>
    <w:p>
      <w:pPr>
        <w:pStyle w:val="null3"/>
      </w:pPr>
      <w:r>
        <w:rPr>
          <w:rFonts w:ascii="仿宋_GB2312" w:hAnsi="仿宋_GB2312" w:cs="仿宋_GB2312" w:eastAsia="仿宋_GB2312"/>
        </w:rPr>
        <w:t>8、信用记录：供应商不得为信用中国网站(www.creditchina.gov.cn)“记录失信被执行人和重大税收违法案件当事人名单”记录名单；不得为中国政府采购网(www.ccgp.gov.cn)“政府采购严重违法失信行为信息记录”的单位；未被省级及以上交通运输主管部门限制进入公路建养市场，且在处罚有效期内</w:t>
      </w:r>
    </w:p>
    <w:p>
      <w:pPr>
        <w:pStyle w:val="null3"/>
      </w:pPr>
      <w:r>
        <w:rPr>
          <w:rFonts w:ascii="仿宋_GB2312" w:hAnsi="仿宋_GB2312" w:cs="仿宋_GB2312" w:eastAsia="仿宋_GB2312"/>
        </w:rPr>
        <w:t>9、关联承诺：单位负责人为同一人或者存在直接控股、管理关系的不同供应商，不得同时参加本采购项目。为本项目提供整体设计、规范编制或者项目管理、监理、检测等服务的供应商，不得再参加本项目磋商</w:t>
      </w:r>
    </w:p>
    <w:p>
      <w:pPr>
        <w:pStyle w:val="null3"/>
      </w:pPr>
      <w:r>
        <w:rPr>
          <w:rFonts w:ascii="仿宋_GB2312" w:hAnsi="仿宋_GB2312" w:cs="仿宋_GB2312" w:eastAsia="仿宋_GB2312"/>
        </w:rPr>
        <w:t>10、不接受联合体声明：提供非联合体不分包响应声明。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陕西省交通运行监测中心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029-88869270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陕西西北民航工程咨询有限公司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陕西省西安市雁塔区陕西省西安市高新区唐延路3号唐延国际中心AB座8层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王倩、代沙沙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029-88347987-8033、8019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标准的95%计算，向成交供应商收取代理服务费。按“服务类”收取。 代理费缴纳账户： 银行户名：陕西西北民航工程咨询有限公司 开户银行：建行西安高新科技支行； 账 号：61001925700052502533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陕西省交通运行监测中心</w:t>
      </w:r>
      <w:r>
        <w:rPr>
          <w:rFonts w:ascii="仿宋_GB2312" w:hAnsi="仿宋_GB2312" w:cs="仿宋_GB2312" w:eastAsia="仿宋_GB2312"/>
        </w:rPr>
        <w:t>和</w:t>
      </w:r>
      <w:r>
        <w:rPr>
          <w:rFonts w:ascii="仿宋_GB2312" w:hAnsi="仿宋_GB2312" w:cs="仿宋_GB2312" w:eastAsia="仿宋_GB2312"/>
        </w:rPr>
        <w:t>陕西西北民航工程咨询有限公司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陕西省交通运行监测中心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陕西西北民航工程咨询有限公司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陕西省交通运行监测中心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陕西西北民航工程咨询有限公司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具体以合同签订为准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陕西西北民航工程咨询有限公司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陕西西北民航工程咨询有限公司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陕西西北民航工程咨询有限公司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联系人：王倩、代沙沙</w:t>
      </w:r>
    </w:p>
    <w:p>
      <w:pPr>
        <w:pStyle w:val="null3"/>
      </w:pPr>
      <w:r>
        <w:rPr>
          <w:rFonts w:ascii="仿宋_GB2312" w:hAnsi="仿宋_GB2312" w:cs="仿宋_GB2312" w:eastAsia="仿宋_GB2312"/>
        </w:rPr>
        <w:t>联系电话：029-88347987-8033、8019</w:t>
      </w:r>
    </w:p>
    <w:p>
      <w:pPr>
        <w:pStyle w:val="null3"/>
      </w:pPr>
      <w:r>
        <w:rPr>
          <w:rFonts w:ascii="仿宋_GB2312" w:hAnsi="仿宋_GB2312" w:cs="仿宋_GB2312" w:eastAsia="仿宋_GB2312"/>
        </w:rPr>
        <w:t>地址：陕西省西安市高新区唐延路3号唐延国际中心AB座8层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按照省数政局和省厅信息系统信创适配改造工作要求，调研梳理省交通监测中心负责建设、运维的应用系统基本情况，明确迁移目标、适配方案及迁移进度安排，梳理编制系统信创适配迁移改造方案。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w:t>
      </w:r>
    </w:p>
    <w:p>
      <w:pPr>
        <w:pStyle w:val="null3"/>
      </w:pPr>
      <w:r>
        <w:rPr>
          <w:rFonts w:ascii="仿宋_GB2312" w:hAnsi="仿宋_GB2312" w:cs="仿宋_GB2312" w:eastAsia="仿宋_GB2312"/>
        </w:rPr>
        <w:t>采购包最高限价（元）: 220,000.00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应用系统信创适配方案编制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标的名称：应用系统信创适配方案编制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rPr>
              <w:t>一、采购要求</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项目提出的背景和目的</w:t>
            </w:r>
          </w:p>
          <w:p>
            <w:pPr>
              <w:pStyle w:val="null3"/>
              <w:ind w:firstLine="400"/>
              <w:jc w:val="both"/>
            </w:pPr>
            <w:r>
              <w:rPr>
                <w:rFonts w:ascii="仿宋_GB2312" w:hAnsi="仿宋_GB2312" w:cs="仿宋_GB2312" w:eastAsia="仿宋_GB2312"/>
              </w:rPr>
              <w:t>为深入贯彻落实信创国产化要求，推进行业应用系统信创适配工作，按照省数政局和省厅工作要求，梳理编制信创适配迁移改造方案，为实现</w:t>
            </w:r>
            <w:r>
              <w:rPr>
                <w:rFonts w:ascii="仿宋_GB2312" w:hAnsi="仿宋_GB2312" w:cs="仿宋_GB2312" w:eastAsia="仿宋_GB2312"/>
              </w:rPr>
              <w:t>2026</w:t>
            </w:r>
            <w:r>
              <w:rPr>
                <w:rFonts w:ascii="仿宋_GB2312" w:hAnsi="仿宋_GB2312" w:cs="仿宋_GB2312" w:eastAsia="仿宋_GB2312"/>
              </w:rPr>
              <w:t>年底前完成成信息系统信创适配改造迁移提供基础支撑。</w:t>
            </w:r>
          </w:p>
          <w:p>
            <w:pPr>
              <w:pStyle w:val="null3"/>
              <w:ind w:firstLine="400"/>
              <w:jc w:val="both"/>
            </w:pPr>
            <w:r>
              <w:rPr>
                <w:rFonts w:ascii="仿宋_GB2312" w:hAnsi="仿宋_GB2312" w:cs="仿宋_GB2312" w:eastAsia="仿宋_GB2312"/>
              </w:rPr>
              <w:t>2.</w:t>
            </w:r>
            <w:r>
              <w:rPr>
                <w:rFonts w:ascii="仿宋_GB2312" w:hAnsi="仿宋_GB2312" w:cs="仿宋_GB2312" w:eastAsia="仿宋_GB2312"/>
              </w:rPr>
              <w:t>项目采购的主要内容</w:t>
            </w:r>
          </w:p>
          <w:p>
            <w:pPr>
              <w:pStyle w:val="null3"/>
              <w:ind w:firstLine="400"/>
              <w:jc w:val="both"/>
            </w:pPr>
            <w:r>
              <w:rPr>
                <w:rFonts w:ascii="仿宋_GB2312" w:hAnsi="仿宋_GB2312" w:cs="仿宋_GB2312" w:eastAsia="仿宋_GB2312"/>
              </w:rPr>
              <w:t>按照省数政局和省厅信息系统信创适配改造工作要求，调研梳理省交通监测中心负责建设、运维的应用系统基本情况，明确迁移目标、适配方案及迁移进度安排，梳理编制系统信创适配迁移改造方案。</w:t>
            </w:r>
          </w:p>
          <w:p>
            <w:pPr>
              <w:pStyle w:val="null3"/>
              <w:ind w:firstLine="400"/>
              <w:jc w:val="both"/>
            </w:pPr>
            <w:r>
              <w:rPr>
                <w:rFonts w:ascii="仿宋_GB2312" w:hAnsi="仿宋_GB2312" w:cs="仿宋_GB2312" w:eastAsia="仿宋_GB2312"/>
              </w:rPr>
              <w:t>3.</w:t>
            </w:r>
            <w:r>
              <w:rPr>
                <w:rFonts w:ascii="仿宋_GB2312" w:hAnsi="仿宋_GB2312" w:cs="仿宋_GB2312" w:eastAsia="仿宋_GB2312"/>
              </w:rPr>
              <w:t>服务内容</w:t>
            </w:r>
          </w:p>
          <w:p>
            <w:pPr>
              <w:pStyle w:val="null3"/>
              <w:ind w:firstLine="400"/>
              <w:jc w:val="both"/>
            </w:pPr>
            <w:r>
              <w:rPr>
                <w:rFonts w:ascii="仿宋_GB2312" w:hAnsi="仿宋_GB2312" w:cs="仿宋_GB2312" w:eastAsia="仿宋_GB2312"/>
              </w:rPr>
              <w:t>按照省数据和政务服务局下发的相关文件编制要求，开展省交通监测中心应用系统信创适配实施方案编制服务。</w:t>
            </w:r>
          </w:p>
          <w:p>
            <w:pPr>
              <w:pStyle w:val="null3"/>
              <w:ind w:firstLine="400"/>
              <w:jc w:val="both"/>
            </w:pPr>
            <w:r>
              <w:rPr>
                <w:rFonts w:ascii="仿宋_GB2312" w:hAnsi="仿宋_GB2312" w:cs="仿宋_GB2312" w:eastAsia="仿宋_GB2312"/>
              </w:rPr>
              <w:t>方案设计要进行全面的可行性分析，包括政策可行性、技术可行性、经济可行性，确保方案在政策、技术、经济上都是可行的。</w:t>
            </w:r>
          </w:p>
          <w:p>
            <w:pPr>
              <w:pStyle w:val="null3"/>
              <w:ind w:firstLine="400"/>
              <w:jc w:val="both"/>
            </w:pPr>
            <w:r>
              <w:rPr>
                <w:rFonts w:ascii="仿宋_GB2312" w:hAnsi="仿宋_GB2312" w:cs="仿宋_GB2312" w:eastAsia="仿宋_GB2312"/>
              </w:rPr>
              <w:t>方案设计的现状、需求、技术路线分析、应用系统信创适配改造方案等要切合省交通监测中心实际，并按照国家及省内相关信创要求设计，确保设计方案能从实际出发，切实可行。</w:t>
            </w:r>
          </w:p>
          <w:p>
            <w:pPr>
              <w:pStyle w:val="null3"/>
              <w:ind w:firstLine="400"/>
              <w:jc w:val="both"/>
            </w:pPr>
            <w:r>
              <w:rPr>
                <w:rFonts w:ascii="仿宋_GB2312" w:hAnsi="仿宋_GB2312" w:cs="仿宋_GB2312" w:eastAsia="仿宋_GB2312"/>
              </w:rPr>
              <w:t>方案制定目标需明确，年度计划及任务需合理，确保信创工作具有系统性和有序性。</w:t>
            </w:r>
          </w:p>
          <w:p>
            <w:pPr>
              <w:pStyle w:val="null3"/>
              <w:ind w:firstLine="400"/>
              <w:jc w:val="both"/>
            </w:pPr>
            <w:r>
              <w:rPr>
                <w:rFonts w:ascii="仿宋_GB2312" w:hAnsi="仿宋_GB2312" w:cs="仿宋_GB2312" w:eastAsia="仿宋_GB2312"/>
              </w:rPr>
              <w:t>4</w:t>
            </w:r>
            <w:r>
              <w:rPr>
                <w:rFonts w:ascii="仿宋_GB2312" w:hAnsi="仿宋_GB2312" w:cs="仿宋_GB2312" w:eastAsia="仿宋_GB2312"/>
              </w:rPr>
              <w:t>.服务要求</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）方案编制要求</w:t>
            </w:r>
          </w:p>
          <w:p>
            <w:pPr>
              <w:pStyle w:val="null3"/>
              <w:ind w:firstLine="400"/>
              <w:jc w:val="both"/>
            </w:pPr>
            <w:r>
              <w:rPr>
                <w:rFonts w:ascii="仿宋_GB2312" w:hAnsi="仿宋_GB2312" w:cs="仿宋_GB2312" w:eastAsia="仿宋_GB2312"/>
              </w:rPr>
              <w:t>实施方案编制成果需符合国家现行政策法规、标准、规范要求，确保通过有关部门审查。</w:t>
            </w:r>
          </w:p>
          <w:p>
            <w:pPr>
              <w:pStyle w:val="null3"/>
              <w:ind w:firstLine="400"/>
              <w:jc w:val="both"/>
            </w:pPr>
            <w:r>
              <w:rPr>
                <w:rFonts w:ascii="仿宋_GB2312" w:hAnsi="仿宋_GB2312" w:cs="仿宋_GB2312" w:eastAsia="仿宋_GB2312"/>
              </w:rPr>
              <w:t>设计单位在完成实施编制方案编制的同时，需配合项目建设单位做好审批报送工作。</w:t>
            </w:r>
          </w:p>
          <w:p>
            <w:pPr>
              <w:pStyle w:val="null3"/>
              <w:ind w:firstLine="400"/>
              <w:jc w:val="both"/>
            </w:pPr>
            <w:r>
              <w:rPr>
                <w:rFonts w:ascii="仿宋_GB2312" w:hAnsi="仿宋_GB2312" w:cs="仿宋_GB2312" w:eastAsia="仿宋_GB2312"/>
              </w:rPr>
              <w:t>针对项目评审后专家提出的意见，设计单位需完成修改及专家确认工作。</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）保密要求</w:t>
            </w:r>
          </w:p>
          <w:p>
            <w:pPr>
              <w:pStyle w:val="null3"/>
              <w:ind w:firstLine="400"/>
              <w:jc w:val="both"/>
            </w:pPr>
            <w:r>
              <w:rPr>
                <w:rFonts w:ascii="仿宋_GB2312" w:hAnsi="仿宋_GB2312" w:cs="仿宋_GB2312" w:eastAsia="仿宋_GB2312"/>
              </w:rPr>
              <w:t>严格按照项目保密要求开展方案编制工作。</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）人员要求</w:t>
            </w:r>
          </w:p>
          <w:p>
            <w:pPr>
              <w:pStyle w:val="null3"/>
              <w:ind w:firstLine="400"/>
              <w:jc w:val="both"/>
            </w:pPr>
            <w:r>
              <w:rPr>
                <w:rFonts w:ascii="仿宋_GB2312" w:hAnsi="仿宋_GB2312" w:cs="仿宋_GB2312" w:eastAsia="仿宋_GB2312"/>
              </w:rPr>
              <w:t>人员架构合理，人员配置充足，满足项目调研、以及实施方案编制等服务要求。</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）交付成果要求</w:t>
            </w:r>
          </w:p>
          <w:p>
            <w:pPr>
              <w:pStyle w:val="null3"/>
              <w:ind w:firstLine="400"/>
              <w:jc w:val="both"/>
            </w:pPr>
            <w:r>
              <w:rPr>
                <w:rFonts w:ascii="仿宋_GB2312" w:hAnsi="仿宋_GB2312" w:cs="仿宋_GB2312" w:eastAsia="仿宋_GB2312"/>
              </w:rPr>
              <w:t>本项目交付成果物为：《陕西省交通运行监测中心应用系统信创适配方案》（</w:t>
            </w:r>
            <w:r>
              <w:rPr>
                <w:rFonts w:ascii="仿宋_GB2312" w:hAnsi="仿宋_GB2312" w:cs="仿宋_GB2312" w:eastAsia="仿宋_GB2312"/>
              </w:rPr>
              <w:t>A4</w:t>
            </w:r>
            <w:r>
              <w:rPr>
                <w:rFonts w:ascii="仿宋_GB2312" w:hAnsi="仿宋_GB2312" w:cs="仿宋_GB2312" w:eastAsia="仿宋_GB2312"/>
              </w:rPr>
              <w:t>规格、</w:t>
            </w:r>
            <w:r>
              <w:rPr>
                <w:rFonts w:ascii="仿宋_GB2312" w:hAnsi="仿宋_GB2312" w:cs="仿宋_GB2312" w:eastAsia="仿宋_GB2312"/>
              </w:rPr>
              <w:t>DOC</w:t>
            </w:r>
            <w:r>
              <w:rPr>
                <w:rFonts w:ascii="仿宋_GB2312" w:hAnsi="仿宋_GB2312" w:cs="仿宋_GB2312" w:eastAsia="仿宋_GB2312"/>
              </w:rPr>
              <w:t>格式、电子版</w:t>
            </w:r>
            <w:r>
              <w:rPr>
                <w:rFonts w:ascii="仿宋_GB2312" w:hAnsi="仿宋_GB2312" w:cs="仿宋_GB2312" w:eastAsia="仿宋_GB2312"/>
              </w:rPr>
              <w:t>1</w:t>
            </w:r>
            <w:r>
              <w:rPr>
                <w:rFonts w:ascii="仿宋_GB2312" w:hAnsi="仿宋_GB2312" w:cs="仿宋_GB2312" w:eastAsia="仿宋_GB2312"/>
              </w:rPr>
              <w:t>份、纸质版胶装</w:t>
            </w:r>
            <w:r>
              <w:rPr>
                <w:rFonts w:ascii="仿宋_GB2312" w:hAnsi="仿宋_GB2312" w:cs="仿宋_GB2312" w:eastAsia="仿宋_GB2312"/>
              </w:rPr>
              <w:t>6</w:t>
            </w:r>
            <w:r>
              <w:rPr>
                <w:rFonts w:ascii="仿宋_GB2312" w:hAnsi="仿宋_GB2312" w:cs="仿宋_GB2312" w:eastAsia="仿宋_GB2312"/>
              </w:rPr>
              <w:t>套）</w:t>
            </w:r>
          </w:p>
          <w:p>
            <w:pPr>
              <w:pStyle w:val="null3"/>
              <w:ind w:firstLine="400"/>
              <w:jc w:val="both"/>
            </w:pPr>
            <w:r>
              <w:rPr>
                <w:rFonts w:ascii="仿宋_GB2312" w:hAnsi="仿宋_GB2312" w:cs="仿宋_GB2312" w:eastAsia="仿宋_GB2312"/>
              </w:rPr>
              <w:t>5.</w:t>
            </w:r>
            <w:r>
              <w:rPr>
                <w:rFonts w:ascii="仿宋_GB2312" w:hAnsi="仿宋_GB2312" w:cs="仿宋_GB2312" w:eastAsia="仿宋_GB2312"/>
              </w:rPr>
              <w:t>服务期要求</w:t>
            </w:r>
          </w:p>
          <w:p>
            <w:pPr>
              <w:pStyle w:val="null3"/>
              <w:ind w:firstLine="400"/>
              <w:jc w:val="both"/>
            </w:pPr>
            <w:r>
              <w:rPr>
                <w:rFonts w:ascii="仿宋_GB2312" w:hAnsi="仿宋_GB2312" w:cs="仿宋_GB2312" w:eastAsia="仿宋_GB2312"/>
                <w:sz w:val="21"/>
              </w:rPr>
              <w:t>合同签订后</w:t>
            </w:r>
            <w:r>
              <w:rPr>
                <w:rFonts w:ascii="仿宋_GB2312" w:hAnsi="仿宋_GB2312" w:cs="仿宋_GB2312" w:eastAsia="仿宋_GB2312"/>
                <w:sz w:val="21"/>
              </w:rPr>
              <w:t>4</w:t>
            </w:r>
            <w:r>
              <w:rPr>
                <w:rFonts w:ascii="仿宋_GB2312" w:hAnsi="仿宋_GB2312" w:cs="仿宋_GB2312" w:eastAsia="仿宋_GB2312"/>
                <w:sz w:val="21"/>
              </w:rPr>
              <w:t>个月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具体以合同签订为准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通过甲方组织的验收并收到乙方发票后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具体以合同签订为准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具有独立承担民事责任能力的法人、其他组织或自然人，提供合法有效的统一社会信用代码营业执照（事业单位法人证书/专业服务机构执业许可证/民办非企业单位登记证书，自然人提供身份证明）</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响应文件截止时间不足一年的可提供成立后任意时段的资产负债表） ，或其开标前三个月内基本开户银行出具的资信证明</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提供磋商前一年内任意一个月的依法缴纳税收的相关凭据（时间以税款所属日期为准），凭据应有税务机关或代收机关的公章或业务专用章。依法免税或无须缴纳税收的供应商，应提供相应证明文件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提供磋商前一年内任意时段已缴存的社会保障资金缴存单据或社保机构开具的社会保险参保缴费情况证明；依法不需要缴纳社会保障资金的应提供相关文件证明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参加本次政府采购活动前3年内在经营活动中没有重大违纪的声明</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法定代表人（单位负责人）授权委托书</w:t>
            </w:r>
          </w:p>
        </w:tc>
        <w:tc>
          <w:tcPr>
            <w:tcW w:type="dxa" w:w="3322"/>
          </w:tcPr>
          <w:p>
            <w:pPr>
              <w:pStyle w:val="null3"/>
            </w:pPr>
            <w:r>
              <w:rPr>
                <w:rFonts w:ascii="仿宋_GB2312" w:hAnsi="仿宋_GB2312" w:cs="仿宋_GB2312" w:eastAsia="仿宋_GB2312"/>
              </w:rPr>
              <w:t>法定代表人（单位负责人）直接参加磋商的，须出具法人身份证明书及身份证；法定代表人（单位负责人）授权代表参加磋商的，须出具法定代表人（单位负责人）授权书及授权代表身份证</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记录失信被执行人和重大税收违法案件当事人名单”记录名单；不得为中国政府采购网(www.ccgp.gov.cn)“政府采购严重违法失信行为信息记录”的单位；未被省级及以上交通运输主管部门限制进入公路建养市场，且在处罚有效期内</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关联承诺</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单位负责人为同一人或者存在直接控股、管理关系的不同供应商，不得同时参加本采购项目。为本项目提供整体设计、规范编制或者项目管理、监理、检测等服务的供应商，不得再参加本项目磋商</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不接受联合体声明</w:t>
            </w:r>
          </w:p>
        </w:tc>
        <w:tc>
          <w:tcPr>
            <w:tcW w:type="dxa" w:w="3322"/>
          </w:tcPr>
          <w:p>
            <w:pPr>
              <w:pStyle w:val="null3"/>
            </w:pPr>
            <w:r>
              <w:rPr>
                <w:rFonts w:ascii="仿宋_GB2312" w:hAnsi="仿宋_GB2312" w:cs="仿宋_GB2312" w:eastAsia="仿宋_GB2312"/>
              </w:rPr>
              <w:t>提供非联合体不分包响应声明。</w:t>
            </w:r>
          </w:p>
        </w:tc>
        <w:tc>
          <w:tcPr>
            <w:tcW w:type="dxa" w:w="1661"/>
          </w:tcPr>
          <w:p>
            <w:pPr>
              <w:pStyle w:val="null3"/>
            </w:pPr>
            <w:r>
              <w:rPr>
                <w:rFonts w:ascii="仿宋_GB2312" w:hAnsi="仿宋_GB2312" w:cs="仿宋_GB2312" w:eastAsia="仿宋_GB2312"/>
              </w:rPr>
              <w:t>供应商应提交的资格证明材料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供应商应提交的资格证明材料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w:t>
            </w:r>
          </w:p>
        </w:tc>
        <w:tc>
          <w:tcPr>
            <w:tcW w:type="dxa" w:w="1661"/>
          </w:tcPr>
          <w:p>
            <w:pPr>
              <w:pStyle w:val="null3"/>
            </w:pPr>
            <w:r>
              <w:rPr>
                <w:rFonts w:ascii="仿宋_GB2312" w:hAnsi="仿宋_GB2312" w:cs="仿宋_GB2312" w:eastAsia="仿宋_GB2312"/>
              </w:rPr>
              <w:t>响应文件封面 政府采购供应商拒绝政府采购领域商业贿赂承诺书 响应承诺书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磋商报价是否唯一有效或磋商报价是否超过采购预算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无不符合法律法规或磋商文件规定的其他无效条款</w:t>
            </w:r>
          </w:p>
        </w:tc>
        <w:tc>
          <w:tcPr>
            <w:tcW w:type="dxa" w:w="1661"/>
          </w:tcPr>
          <w:p>
            <w:pPr>
              <w:pStyle w:val="null3"/>
            </w:pPr>
            <w:r>
              <w:rPr>
                <w:rFonts w:ascii="仿宋_GB2312" w:hAnsi="仿宋_GB2312" w:cs="仿宋_GB2312" w:eastAsia="仿宋_GB2312"/>
              </w:rPr>
              <w:t>政府采购供应商拒绝政府采购领域商业贿赂承诺书 响应承诺书</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方案设计工作范围和任务分析</w:t>
            </w:r>
          </w:p>
        </w:tc>
        <w:tc>
          <w:tcPr>
            <w:tcW w:type="dxa" w:w="2492"/>
          </w:tcPr>
          <w:p>
            <w:pPr>
              <w:pStyle w:val="null3"/>
            </w:pPr>
            <w:r>
              <w:rPr>
                <w:rFonts w:ascii="仿宋_GB2312" w:hAnsi="仿宋_GB2312" w:cs="仿宋_GB2312" w:eastAsia="仿宋_GB2312"/>
              </w:rPr>
              <w:t>A.对本次方案设计工作范围了解深刻，任务分析全面完善，得15分； B.对本次方案设计工作范围了解不足，任务分析相对片面，得10分； C.对本次方案设计工作范围了解不足，任务分析有欠缺，得5分； D.其他或未提供得0分。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对项目重难点、关键性技术问题的认识及其对策措施</w:t>
            </w:r>
          </w:p>
        </w:tc>
        <w:tc>
          <w:tcPr>
            <w:tcW w:type="dxa" w:w="2492"/>
          </w:tcPr>
          <w:p>
            <w:pPr>
              <w:pStyle w:val="null3"/>
            </w:pPr>
            <w:r>
              <w:rPr>
                <w:rFonts w:ascii="仿宋_GB2312" w:hAnsi="仿宋_GB2312" w:cs="仿宋_GB2312" w:eastAsia="仿宋_GB2312"/>
              </w:rPr>
              <w:t>A.供应商对项目重难点、关键性技术问题的把握准确、分析到位，所提供的对策措施完善，有较强的针对性，得20分； B.供应商对项目重难点、关键性技术问题的把握基本准确、分析简单，所提供的对策措施合理，有一定的针对性，15分； C.供应商对项目重难点、关键性技术问题的把握有偏差、分析欠缺，所提供的对策措施简单普遍，对本项目没有针对性，得10分 D.其他或未提供得0分。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方案总体设计思路</w:t>
            </w:r>
          </w:p>
        </w:tc>
        <w:tc>
          <w:tcPr>
            <w:tcW w:type="dxa" w:w="2492"/>
          </w:tcPr>
          <w:p>
            <w:pPr>
              <w:pStyle w:val="null3"/>
            </w:pPr>
            <w:r>
              <w:rPr>
                <w:rFonts w:ascii="仿宋_GB2312" w:hAnsi="仿宋_GB2312" w:cs="仿宋_GB2312" w:eastAsia="仿宋_GB2312"/>
              </w:rPr>
              <w:t>A.方案设计思路清晰，设计理念科学先进、可行性强得20分； B.方案设计思路相对明确，设计理念合理、可行性较强得15分； C.方案设计思路需进一步梳理，设计理念基本合理，得10分； D.其他或未提供得0分。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项目负责人具有高级工程师证书得3分，未提供不得分。（提供开标前半年内任意三个月的社保缴纳证明）</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拟投入工作组成员</w:t>
            </w:r>
          </w:p>
        </w:tc>
        <w:tc>
          <w:tcPr>
            <w:tcW w:type="dxa" w:w="2492"/>
          </w:tcPr>
          <w:p>
            <w:pPr>
              <w:pStyle w:val="null3"/>
            </w:pPr>
            <w:r>
              <w:rPr>
                <w:rFonts w:ascii="仿宋_GB2312" w:hAnsi="仿宋_GB2312" w:cs="仿宋_GB2312" w:eastAsia="仿宋_GB2312"/>
              </w:rPr>
              <w:t>拟投入工作组成员（不包含项目负责人），备注：以下人员不重复计分。 A.提供咨询工程师（投资）证书，提供1份得1分，最高得2分; B.提供通信或信息化类高级工程师证书，提供1份得1分，最高得2分; C.提供软件工程造价师证书，提供1份得1分，最高得2分; D.提供信息系统项目管理师(中\高级)，提供1份得1分，最高得2分; E.其他或未提供得0分。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供应商应提供质量控制措施。 A.质量控制方法和措施思路清晰、明确得5分； B.质量控制方法和措施内容简单、流程繁琐3分； C.质量控制措施内容无针对性，有缺陷得1分； D.其他或未提供得0分。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供应商应提供针对本项目中标后的保密承诺，在履行合同期间或合同规定期限内，不得泄露本项目实施活动中获知的所有保密资料。 A.保密措施具有针对性，保密承诺内容详细齐全，提供保密承诺或协议书，得5分； B.保密措施缺乏针对性，保密承诺内容简单，提供保密承诺或协议书，得3分； C.保密措施简单笼统、缺乏针对性，保密承诺有待优化，提供保密承诺或协议书，得1分； D.其他或未提供得0分。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后期技术支持服务</w:t>
            </w:r>
          </w:p>
        </w:tc>
        <w:tc>
          <w:tcPr>
            <w:tcW w:type="dxa" w:w="2492"/>
          </w:tcPr>
          <w:p>
            <w:pPr>
              <w:pStyle w:val="null3"/>
            </w:pPr>
            <w:r>
              <w:rPr>
                <w:rFonts w:ascii="仿宋_GB2312" w:hAnsi="仿宋_GB2312" w:cs="仿宋_GB2312" w:eastAsia="仿宋_GB2312"/>
              </w:rPr>
              <w:t>提供针对本项目后期应用系统适配的技术支持服务计划。 A.技术支持服务计划内容完善，科学合理、针对性强，得2分； B.技术支持服务计划内容简单笼统，内容粗略，针对性欠缺，得1分； C.其他或未提供，得0分；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A.具有工程咨询单位（业务：电子、信息工程（含通信、广电、信息化））乙级或甲级资信证书得4分，未提供不得分；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提供2021年1月1日以来政府信息化或信创类相关咨询业绩，每提供一个得2分，满分10分。以合同签订日期为准，提供合同复印件加盖公章。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满足招标文件要求且投标价格最低的投标报价为评标基准价，其价格分为满分。其他供应商的价格分统一按照下列公式计算：投标报价得分=（评标基准价/投标报价）×10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详见附件：响应承诺书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详见附件：供应商业绩一览表</w:t>
      </w:r>
    </w:p>
    <w:p>
      <w:pPr>
        <w:pStyle w:val="null3"/>
        <w:ind w:firstLine="960"/>
      </w:pPr>
      <w:r>
        <w:rPr>
          <w:rFonts w:ascii="仿宋_GB2312" w:hAnsi="仿宋_GB2312" w:cs="仿宋_GB2312" w:eastAsia="仿宋_GB2312"/>
        </w:rPr>
        <w:t>详见附件：供应商应提交的资格证明材料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