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版本号：中金咨招[2025]-0114号.1B320250624001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凝聚广告力量、助力乡村振兴公益行动(四次)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中金咨招[2025]-0114号.1B3</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凝聚广告力量、助力乡村振兴公益行动(四次)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中金咨招[2025]-0114号.1B3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凝聚广告力量、助力乡村振兴公益行动(四次)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凝聚广告力量、助力乡村振兴公益行动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pPr>
        <w:pStyle w:val="null3"/>
      </w:pPr>
      <w:r>
        <w:rPr>
          <w:rFonts w:ascii="仿宋_GB2312" w:hAnsi="仿宋_GB2312" w:cs="仿宋_GB2312" w:eastAsia="仿宋_GB2312"/>
        </w:rPr>
        <w:t>2、法定代表人参加投标时，提供本人身份证；授权代表参加投标时，提供法定代表人授权书和被授权人身份证；非法人单位参照执行：法定代表人参加投标时，提供本人身份证；授权代表参加投标时，提供法定代表人授权书和被授权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3、参加政府采购活动前三年内，在经营活动中没有重大违法记录的书面声明：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4、供应商提供具有履行合同所必需的设备和专业技术能力的承诺：供应商提供具有履行合同所必需的设备和专业技术能力的承诺，供应商需在项目电子化交易系统中按要求上传相应证明文件并进行电子签章。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5、税收证明：提供磋商响应文件递交截止时间近六个月内至少一个月已缴纳的纳税凭据或完税证明；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社会保障资金缴纳证明：提供磋商响应文件截止时间前六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7、信用查询：供应商不得为“信用中国”网站（www.creditchina.gov.cn）或“中国执信公开网”中被列入失信被执行人、重大税收违法案件当事人名单和中国政府采购网（www.ccgp.gov.cn）被列入政府采购严重违法失信行为记录名单的单位。供应商需在项目电子化交易系统中按要求上传相应证明文件并进行电子签章。</w:t>
      </w:r>
    </w:p>
    <w:p>
      <w:pPr>
        <w:pStyle w:val="null3"/>
      </w:pPr>
      <w:r>
        <w:rPr>
          <w:rFonts w:ascii="仿宋_GB2312" w:hAnsi="仿宋_GB2312" w:cs="仿宋_GB2312" w:eastAsia="仿宋_GB2312"/>
        </w:rPr>
        <w:t>8、本项目不接受联合体投标：本项目不接受联合体投标，供应商需在项目电子化交易系统中按要求上传相应证明文件并进行电子签章。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029-86138061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西安市雁塔区旺座曲江E座1304室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13572476552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代理服务费收费标准：1.以本采购项目成交价为基数，参照国家计委关于印发《招标代理服务收费管理暂行办法》的通知（计价格[2002]1980号）和发改办价格[2003]857号规定计取。 2.成交供应商在领取成交通知书前，须向采购代理机构一次性支付招标代理服务费。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联系电话：13572476552</w:t>
      </w:r>
    </w:p>
    <w:p>
      <w:pPr>
        <w:pStyle w:val="null3"/>
      </w:pPr>
      <w:r>
        <w:rPr>
          <w:rFonts w:ascii="仿宋_GB2312" w:hAnsi="仿宋_GB2312" w:cs="仿宋_GB2312" w:eastAsia="仿宋_GB2312"/>
        </w:rPr>
        <w:t>地址：西安市雁塔区旺座曲江E座1304室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陕西省凝聚广告力量、助力乡村振兴公益行动项目应运而生，旨在通过广告的力量，推动乡村经济、文化和社会的发展，助力乡村振兴战略的实施。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凝聚广告力量、助力乡村振兴公益行动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标的名称：凝聚广告力量、助力乡村振兴公益行动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SourceURL:file:///home/guest/Desktop/政府采购/项目采购需求/凝聚广告力量【采购需求】(2).wps</w:t>
            </w:r>
          </w:p>
          <w:p>
            <w:pPr>
              <w:pStyle w:val="null3"/>
              <w:spacing w:after="120"/>
              <w:jc w:val="both"/>
            </w:pPr>
            <w:r>
              <w:rPr>
                <w:rFonts w:ascii="仿宋_GB2312" w:hAnsi="仿宋_GB2312" w:cs="仿宋_GB2312" w:eastAsia="仿宋_GB2312"/>
                <w:sz w:val="24"/>
                <w:b/>
                <w:color w:val="000000"/>
              </w:rPr>
              <w:t>一、建设</w:t>
            </w:r>
            <w:r>
              <w:rPr>
                <w:rFonts w:ascii="仿宋_GB2312" w:hAnsi="仿宋_GB2312" w:cs="仿宋_GB2312" w:eastAsia="仿宋_GB2312"/>
                <w:sz w:val="24"/>
                <w:b/>
                <w:color w:val="000000"/>
              </w:rPr>
              <w:t>背景</w:t>
            </w:r>
          </w:p>
          <w:p>
            <w:pPr>
              <w:pStyle w:val="null3"/>
              <w:spacing w:after="120"/>
              <w:ind w:firstLine="480"/>
              <w:jc w:val="both"/>
            </w:pPr>
            <w:r>
              <w:rPr>
                <w:rFonts w:ascii="仿宋_GB2312" w:hAnsi="仿宋_GB2312" w:cs="仿宋_GB2312" w:eastAsia="仿宋_GB2312"/>
                <w:sz w:val="24"/>
              </w:rPr>
              <w:t>陕西省作为中国西部地区的重要省份，拥有丰富的自然资源和深厚的文化底蕴，但部分乡村地区仍面临经济发展滞后、基础设施薄弱、信息不对称等问题。乡村振兴战略是国家的重要战略部署，旨在通过产业、人才、文化、生态和组织振兴，推动乡村全面发展。广告作为信息传播的重要工具，具有强大的影响力和广泛的覆盖面，能够有效提升乡村品牌形象、推广特色产品、吸引投资和人才。因此，陕西省凝聚广告力量、助力乡村振兴公益行动项目应运而生，旨在通过广告的力量，推动乡村经济、文化和社会的发展，助力乡村振兴战略的实施</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b/>
              </w:rPr>
              <w:t>二、建设依据</w:t>
            </w:r>
          </w:p>
          <w:p>
            <w:pPr>
              <w:pStyle w:val="null3"/>
              <w:spacing w:after="120"/>
              <w:ind w:firstLine="480"/>
              <w:jc w:val="both"/>
            </w:pPr>
            <w:r>
              <w:rPr>
                <w:rFonts w:ascii="仿宋_GB2312" w:hAnsi="仿宋_GB2312" w:cs="仿宋_GB2312" w:eastAsia="仿宋_GB2312"/>
                <w:sz w:val="24"/>
              </w:rPr>
              <w:t>国家颁布的《乡村振兴战略规划</w:t>
            </w:r>
            <w:r>
              <w:rPr>
                <w:rFonts w:ascii="仿宋_GB2312" w:hAnsi="仿宋_GB2312" w:cs="仿宋_GB2312" w:eastAsia="仿宋_GB2312"/>
                <w:sz w:val="24"/>
              </w:rPr>
              <w:t>（</w:t>
            </w:r>
            <w:r>
              <w:rPr>
                <w:rFonts w:ascii="仿宋_GB2312" w:hAnsi="仿宋_GB2312" w:cs="仿宋_GB2312" w:eastAsia="仿宋_GB2312"/>
                <w:sz w:val="24"/>
              </w:rPr>
              <w:t>2018-2022年）》文件</w:t>
            </w:r>
            <w:r>
              <w:rPr>
                <w:rFonts w:ascii="仿宋_GB2312" w:hAnsi="仿宋_GB2312" w:cs="仿宋_GB2312" w:eastAsia="仿宋_GB2312"/>
                <w:sz w:val="24"/>
              </w:rPr>
              <w:t>明确提出，要充分发挥市场机制作用，引导社会力量参与乡村振兴。广告作为市场机制的重要组成部分，能够有效推动乡村资源的市场化配置。</w:t>
            </w:r>
          </w:p>
          <w:p>
            <w:pPr>
              <w:pStyle w:val="null3"/>
              <w:spacing w:after="120"/>
              <w:jc w:val="both"/>
            </w:pPr>
            <w:r>
              <w:rPr>
                <w:rFonts w:ascii="仿宋_GB2312" w:hAnsi="仿宋_GB2312" w:cs="仿宋_GB2312" w:eastAsia="仿宋_GB2312"/>
                <w:sz w:val="24"/>
                <w:b/>
              </w:rPr>
              <w:t>三</w:t>
            </w:r>
            <w:r>
              <w:rPr>
                <w:rFonts w:ascii="仿宋_GB2312" w:hAnsi="仿宋_GB2312" w:cs="仿宋_GB2312" w:eastAsia="仿宋_GB2312"/>
                <w:sz w:val="24"/>
                <w:b/>
              </w:rPr>
              <w:t>、建设目标</w:t>
            </w:r>
          </w:p>
          <w:p>
            <w:pPr>
              <w:pStyle w:val="null3"/>
              <w:spacing w:after="120"/>
              <w:ind w:firstLine="480"/>
              <w:jc w:val="both"/>
            </w:pPr>
            <w:r>
              <w:rPr>
                <w:rFonts w:ascii="仿宋_GB2312" w:hAnsi="仿宋_GB2312" w:cs="仿宋_GB2312" w:eastAsia="仿宋_GB2312"/>
                <w:sz w:val="24"/>
              </w:rPr>
              <w:t>通过广告创意和传播，塑造乡村地区的独特品牌形象，提升乡村旅游和乡村产业在省内外的知名度和美誉度；帮助乡村地区的特色农产品、手工艺品等通过广告渠道走向更广阔的市场，增加农民收入，推动乡村经济发展；通过广告的形式进行传播乡村历史文化、民俗风情等，增强乡村文化的吸引力和影响力，促进乡村旅游和文化产业的发展；通过广告宣传，吸引更多的投资者、企业和人才关注乡村，推动乡村产业升级和人才回流。</w:t>
            </w:r>
          </w:p>
          <w:p>
            <w:pPr>
              <w:pStyle w:val="null3"/>
              <w:spacing w:after="120"/>
              <w:jc w:val="both"/>
            </w:pP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服务要求</w:t>
            </w:r>
          </w:p>
          <w:p>
            <w:pPr>
              <w:pStyle w:val="null3"/>
              <w:spacing w:after="120"/>
              <w:ind w:firstLine="480"/>
              <w:jc w:val="both"/>
            </w:pPr>
            <w:r>
              <w:rPr>
                <w:rFonts w:ascii="仿宋_GB2312" w:hAnsi="仿宋_GB2312" w:cs="仿宋_GB2312" w:eastAsia="仿宋_GB2312"/>
                <w:sz w:val="24"/>
              </w:rPr>
              <w:t>根据乡村地区的特色和需求，提供定制化的广告创意和设计方案，确保广告内容具有吸引力和传播力；利用电视、广播、互联网、社交媒体等多种传播渠道，确保广告信息能够覆盖更广泛的受众群体；为乡村地区的特色产品、旅游景点、文化资源等提供品牌推广服务，帮助其建立市场认知度和美誉度；通过广告传播乡村的历史文化、民俗风情等，增强乡村文化的吸引力和影响力，促进乡村旅游和文化产业的发展；在项目的实施过程中确保项目的公益性和社会</w:t>
            </w:r>
            <w:r>
              <w:rPr>
                <w:rFonts w:ascii="仿宋_GB2312" w:hAnsi="仿宋_GB2312" w:cs="仿宋_GB2312" w:eastAsia="仿宋_GB2312"/>
                <w:sz w:val="24"/>
              </w:rPr>
              <w:t>效益，服务期限为</w:t>
            </w:r>
            <w:r>
              <w:rPr>
                <w:rFonts w:ascii="仿宋_GB2312" w:hAnsi="仿宋_GB2312" w:cs="仿宋_GB2312" w:eastAsia="仿宋_GB2312"/>
                <w:sz w:val="24"/>
              </w:rPr>
              <w:t>1年。</w:t>
            </w:r>
          </w:p>
          <w:p>
            <w:pPr>
              <w:pStyle w:val="null3"/>
              <w:spacing w:after="120"/>
              <w:jc w:val="both"/>
            </w:pPr>
            <w:r>
              <w:rPr>
                <w:rFonts w:ascii="仿宋_GB2312" w:hAnsi="仿宋_GB2312" w:cs="仿宋_GB2312" w:eastAsia="仿宋_GB2312"/>
                <w:sz w:val="24"/>
              </w:rPr>
              <w:t>（一）广告的创意和设计要求</w:t>
            </w:r>
          </w:p>
          <w:p>
            <w:pPr>
              <w:pStyle w:val="null3"/>
              <w:spacing w:after="120"/>
              <w:ind w:firstLine="480"/>
              <w:jc w:val="both"/>
            </w:pPr>
            <w:r>
              <w:rPr>
                <w:rFonts w:ascii="仿宋_GB2312" w:hAnsi="仿宋_GB2312" w:cs="仿宋_GB2312" w:eastAsia="仿宋_GB2312"/>
                <w:sz w:val="24"/>
              </w:rPr>
              <w:t>依据企业的实际需求，对企业进行整体的形象进行视觉化设计，对企业产品进行包装设计；广告设计应注重情感表达，通过讲述乡村故事、展现农民生活、传递乡土情怀等方式，引发受众的情感共鸣。在设计的过程中保证色彩、构图的可识别性；与企业的产品和文化深度融合，凸显企业在推广和宣传中的视觉优势，广告创意应具有创新性，避免千篇一律的表达方式。可以通过新颖的视角、独特的叙事手法或互动性强的设计，吸引受众的注意力。例如，利用人工智能技术，让消费者通过手机扫描广告，直观感受乡村产品的生产过程或文化背景。</w:t>
            </w:r>
          </w:p>
          <w:p>
            <w:pPr>
              <w:pStyle w:val="null3"/>
              <w:spacing w:after="120"/>
              <w:jc w:val="both"/>
            </w:pPr>
            <w:r>
              <w:rPr>
                <w:rFonts w:ascii="仿宋_GB2312" w:hAnsi="仿宋_GB2312" w:cs="仿宋_GB2312" w:eastAsia="仿宋_GB2312"/>
                <w:sz w:val="24"/>
              </w:rPr>
              <w:t xml:space="preserve">    </w:t>
            </w:r>
            <w:r>
              <w:rPr>
                <w:rFonts w:ascii="仿宋_GB2312" w:hAnsi="仿宋_GB2312" w:cs="仿宋_GB2312" w:eastAsia="仿宋_GB2312"/>
                <w:sz w:val="24"/>
              </w:rPr>
              <w:t>（二）新媒体品牌传播要求</w:t>
            </w:r>
          </w:p>
          <w:p>
            <w:pPr>
              <w:pStyle w:val="null3"/>
              <w:spacing w:after="120"/>
              <w:ind w:firstLine="480"/>
              <w:jc w:val="both"/>
            </w:pPr>
            <w:r>
              <w:rPr>
                <w:rFonts w:ascii="仿宋_GB2312" w:hAnsi="仿宋_GB2312" w:cs="仿宋_GB2312" w:eastAsia="仿宋_GB2312"/>
                <w:sz w:val="24"/>
              </w:rPr>
              <w:t>依据企业提出的实际需求进行新媒运营策划，对品牌的传播进行平台选择。利用大数据和人工智能技术，分析受众的兴趣和行为特征，实现广告内容的精准投放。例如，针对城市消费者，可以推送乡村优质农产品的广告；针对旅游爱好者，可以推送乡村文化旅游的广告，提高传播的针对性和转化率。制定宣传的时间节点方法，通过短视频和直播的形式对企业的品牌进行有效宣传，通过直播的形式进行产品销售，其中部分产品可以以出海的实行进行有效的传播。新媒体传播需建立完善的数据监测和效果评估机制，通过点击量、转发量、评论量、转化率等指标，实时跟踪广告传播效果，及时调整传播策略，确保传播效果的最大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所提供的培训服务及相关资料必须保证符合国家相关程序和相关规定。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供应商与采购人签订合同后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成交供应商完成本项目要求的所有成果并通过采购人验收后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本合同在履行过程中发生的争议，由甲、乙双方当事人协商解决，协商不成的按下列第（二）种方式解决： （一）提交西安仲裁委员会仲裁； （二）依法向甲方所在地法院起诉。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1.项目名称：凝聚广告力量、助力乡村振兴公益行动 2.服务期：自合同签订之日起1年， 3.服务地点：采购人指定地点 。 4.付款方式：供应商与采购人签订合同后，采购人向供应商转账支付80%项目费用。成交供应商完成本项目要求的所有成果并通过采购人验收后15个工作日内，采购人向供应商转账支付余下20%费用。 5.验 收：（1）供应商按照采购内容要求完成服务，采购人即对项目进行验收。 2.验收依据：(1) 合同文本； (2) 国家有关的验收标准及规范；(3) 竞争性磋商文件；(4) 磋商响应文件。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六、资格证明文件.docx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提供经审计的2023年度的财务报告或提交磋商响应文件截止时间前六个月银行资信证明；或政府采购信用担保机构出具的投标担保函；供应商需在项目电子化交易系统中按要求上传相应证明文件并进行电子签章。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六、资格证明文件.docx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六、资格证明文件.docx 附件4：企业关系关联承诺书.docx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w:t>
            </w:r>
          </w:p>
        </w:tc>
        <w:tc>
          <w:tcPr>
            <w:tcW w:type="dxa" w:w="332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法定代表人身份证明.docx 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附件1.参加本次政府采购活动前三年内，在经营活动中没有重大违法记录的书面声明docx.docx 六、资格证明文件.docx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供应商提供具有履行合同所必需的设备和专业技术能力的承诺</w:t>
            </w:r>
          </w:p>
        </w:tc>
        <w:tc>
          <w:tcPr>
            <w:tcW w:type="dxa" w:w="3322"/>
          </w:tcPr>
          <w:p>
            <w:pPr>
              <w:pStyle w:val="null3"/>
            </w:pPr>
            <w:r>
              <w:rPr>
                <w:rFonts w:ascii="仿宋_GB2312" w:hAnsi="仿宋_GB2312" w:cs="仿宋_GB2312" w:eastAsia="仿宋_GB2312"/>
              </w:rPr>
              <w:t>供应商提供具有履行合同所必需的设备和专业技术能力的承诺，供应商需在项目电子化交易系统中按要求上传相应证明文件并进行电子签章。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附件2.供应商具有履行合同所必需的设备和专业技术能力的承诺docx.docx 六、资格证明文件.docx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税收证明</w:t>
            </w:r>
          </w:p>
        </w:tc>
        <w:tc>
          <w:tcPr>
            <w:tcW w:type="dxa" w:w="3322"/>
          </w:tcPr>
          <w:p>
            <w:pPr>
              <w:pStyle w:val="null3"/>
            </w:pPr>
            <w:r>
              <w:rPr>
                <w:rFonts w:ascii="仿宋_GB2312" w:hAnsi="仿宋_GB2312" w:cs="仿宋_GB2312" w:eastAsia="仿宋_GB2312"/>
              </w:rPr>
              <w:t>提供磋商响应文件递交截止时间近六个月内至少一个月已缴纳的纳税凭据或完税证明；依法免税的供应商应提供相关文件证明；供应商需在项目电子化交易系统中按要求上传相应证明文件并进行电子签章。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时间前六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或“中国执信公开网”中被列入失信被执行人、重大税收违法案件当事人名单和中国政府采购网（www.ccgp.gov.cn）被列入政府采购严重违法失信行为记录名单的单位。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六、资格证明文件.docx 附件3.非联合体磋商声明docx.docx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供应商自2022年1月1日至今承担过类似项目业绩。需提供签订的合同或协议的首页、盖章页及关键信息页的复印件加盖公章（日期以合同签订时间为准）。每提供1份有效合同得2分，最多得10分。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三、磋商方案说明书.docx</w:t>
            </w:r>
          </w:p>
          <w:p>
            <w:pPr>
              <w:pStyle w:val="null3"/>
            </w:pPr>
            <w:r>
              <w:rPr>
                <w:rFonts w:ascii="仿宋_GB2312" w:hAnsi="仿宋_GB2312" w:cs="仿宋_GB2312" w:eastAsia="仿宋_GB2312"/>
              </w:rPr>
              <w:t>七、其它资料.docx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供应商根据磋商文件的采购服务内容进行理解分析，项目方案包括但不限于： 项目工作计划、预期成果简述、项目负责人情况及团队成员。 方案合理、清晰、可行，针对性强，能完全满足采购需求得14.1-20分；方案基本合理、清晰、可行，针对性一般，基本满足采购需求得6.1-14分；方案基本合理、可行、但不清晰，无针对性，不能满足采购需求得0-6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三、磋商方案说明书.docx</w:t>
            </w:r>
          </w:p>
          <w:p>
            <w:pPr>
              <w:pStyle w:val="null3"/>
            </w:pPr>
            <w:r>
              <w:rPr>
                <w:rFonts w:ascii="仿宋_GB2312" w:hAnsi="仿宋_GB2312" w:cs="仿宋_GB2312" w:eastAsia="仿宋_GB2312"/>
              </w:rPr>
              <w:t>七、其它资料.docx</w:t>
            </w:r>
          </w:p>
        </w:tc>
      </w:tr>
      <w:tr>
        <w:tc>
          <w:tcPr>
            <w:tcW w:type="dxa" w:w="831"/>
            <w:vMerge/>
          </w:tcPr>
          <w:p/>
        </w:tc>
        <w:tc>
          <w:tcPr>
            <w:tcW w:type="dxa" w:w="1661"/>
          </w:tcPr>
          <w:p>
            <w:pPr>
              <w:pStyle w:val="null3"/>
            </w:pPr>
            <w:r>
              <w:rPr>
                <w:rFonts w:ascii="仿宋_GB2312" w:hAnsi="仿宋_GB2312" w:cs="仿宋_GB2312" w:eastAsia="仿宋_GB2312"/>
              </w:rPr>
              <w:t>服务周期安排</w:t>
            </w:r>
          </w:p>
        </w:tc>
        <w:tc>
          <w:tcPr>
            <w:tcW w:type="dxa" w:w="2492"/>
          </w:tcPr>
          <w:p>
            <w:pPr>
              <w:pStyle w:val="null3"/>
            </w:pPr>
            <w:r>
              <w:rPr>
                <w:rFonts w:ascii="仿宋_GB2312" w:hAnsi="仿宋_GB2312" w:cs="仿宋_GB2312" w:eastAsia="仿宋_GB2312"/>
              </w:rPr>
              <w:t>针对本项目工作有具体合理、详细明确的服务周期安排计划，且计划保证措施得当，得10.1-15分；服务周期安排计划完整，计划保障措施能基本满足项目需求，得5.1-10分；无服务周期安排计划或服务周期安排计划简单粗略，计划保障措施有明显缺陷无法保障服务进度，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三、磋商方案说明书.docx</w:t>
            </w:r>
          </w:p>
          <w:p>
            <w:pPr>
              <w:pStyle w:val="null3"/>
            </w:pPr>
            <w:r>
              <w:rPr>
                <w:rFonts w:ascii="仿宋_GB2312" w:hAnsi="仿宋_GB2312" w:cs="仿宋_GB2312" w:eastAsia="仿宋_GB2312"/>
              </w:rPr>
              <w:t>七、其它资料.docx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拟投入本项目的专业服务团队组织结构合理，人员分工明确，得10.1-15分；服务团队组织结构简单、人员分工模糊，得5.1-10分；服务团队组织结构简单、无人员分工，得5-0分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三、磋商方案说明书.docx</w:t>
            </w:r>
          </w:p>
          <w:p>
            <w:pPr>
              <w:pStyle w:val="null3"/>
            </w:pPr>
            <w:r>
              <w:rPr>
                <w:rFonts w:ascii="仿宋_GB2312" w:hAnsi="仿宋_GB2312" w:cs="仿宋_GB2312" w:eastAsia="仿宋_GB2312"/>
              </w:rPr>
              <w:t>七、其它资料.docx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根据供应商提供的服务质量保证措施，内容全面详细、阐述条理清晰详尽、符合本项目采购需求，得7.1-10分；方案各部分内容比较详细，可行性较高，得4.1-7分；方案各部分内容一般，可行性不高，得0-4分。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七、其它资料.docx</w:t>
            </w:r>
          </w:p>
          <w:p>
            <w:pPr>
              <w:pStyle w:val="null3"/>
            </w:pPr>
            <w:r>
              <w:rPr>
                <w:rFonts w:ascii="仿宋_GB2312" w:hAnsi="仿宋_GB2312" w:cs="仿宋_GB2312" w:eastAsia="仿宋_GB2312"/>
              </w:rPr>
              <w:t>三、磋商方案说明书.docx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根据供应商提供的服务质量保证措施，内容全面详细、阐述条理清晰详尽、符合本项目采购需求，得7.1-10分；方案各部分内容比较详细，可行性较高，得4.1-7分；方案各部分内容一般，可行性不高，得0-4分。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三、磋商方案说明书.docx</w:t>
            </w:r>
          </w:p>
          <w:p>
            <w:pPr>
              <w:pStyle w:val="null3"/>
            </w:pPr>
            <w:r>
              <w:rPr>
                <w:rFonts w:ascii="仿宋_GB2312" w:hAnsi="仿宋_GB2312" w:cs="仿宋_GB2312" w:eastAsia="仿宋_GB2312"/>
              </w:rPr>
              <w:t>七、其它资料.docx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针对本项目提出的合理化建议，内容科学、合理，符合本项目特征，得5.1-10分；针对本项目提出的合理化建议，粗略、简单，不符合本项目特征，得0-5分。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三、磋商方案说明书.docx</w:t>
            </w:r>
          </w:p>
          <w:p>
            <w:pPr>
              <w:pStyle w:val="null3"/>
            </w:pPr>
            <w:r>
              <w:rPr>
                <w:rFonts w:ascii="仿宋_GB2312" w:hAnsi="仿宋_GB2312" w:cs="仿宋_GB2312" w:eastAsia="仿宋_GB2312"/>
              </w:rPr>
              <w:t>七、其它资料.docx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2.满足竞争性磋商文件实质性要求且最终报价最低的供应商的价格为磋商基准价，其价格分为满分10分。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四、商务条款偏离表.docx</w:t>
            </w:r>
          </w:p>
          <w:p>
            <w:pPr>
              <w:pStyle w:val="null3"/>
            </w:pPr>
            <w:r>
              <w:rPr>
                <w:rFonts w:ascii="仿宋_GB2312" w:hAnsi="仿宋_GB2312" w:cs="仿宋_GB2312" w:eastAsia="仿宋_GB2312"/>
              </w:rPr>
              <w:t>附件5（如是）：中小企业声明函（工程、服务）docx.docx</w:t>
            </w:r>
          </w:p>
          <w:p>
            <w:pPr>
              <w:pStyle w:val="null3"/>
            </w:pPr>
            <w:r>
              <w:rPr>
                <w:rFonts w:ascii="仿宋_GB2312" w:hAnsi="仿宋_GB2312" w:cs="仿宋_GB2312" w:eastAsia="仿宋_GB2312"/>
              </w:rPr>
              <w:t>附件6.残疾人福利性单位声明函docx.docx</w:t>
            </w:r>
          </w:p>
          <w:p>
            <w:pPr>
              <w:pStyle w:val="null3"/>
            </w:pPr>
            <w:r>
              <w:rPr>
                <w:rFonts w:ascii="仿宋_GB2312" w:hAnsi="仿宋_GB2312" w:cs="仿宋_GB2312" w:eastAsia="仿宋_GB2312"/>
              </w:rPr>
              <w:t>附件7（如是）：监狱企业证明文件docx.docx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五、供应商承诺书.docx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本次采购执行财库〔2020〕46号文件、财库〔2014〕68号文件、财库﹝2017）141号文件规定，对于按规定提供证明或真实声明的供应商，在价格评审时统一给予10%的扣除，用扣除后的价格参与评审。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详见附件：三、磋商方案说明书.docx</w:t>
      </w:r>
    </w:p>
    <w:p>
      <w:pPr>
        <w:pStyle w:val="null3"/>
        <w:ind w:firstLine="960"/>
      </w:pPr>
      <w:r>
        <w:rPr>
          <w:rFonts w:ascii="仿宋_GB2312" w:hAnsi="仿宋_GB2312" w:cs="仿宋_GB2312" w:eastAsia="仿宋_GB2312"/>
        </w:rPr>
        <w:t>详见附件：四、商务条款偏离表.docx</w:t>
      </w:r>
    </w:p>
    <w:p>
      <w:pPr>
        <w:pStyle w:val="null3"/>
        <w:ind w:firstLine="960"/>
      </w:pPr>
      <w:r>
        <w:rPr>
          <w:rFonts w:ascii="仿宋_GB2312" w:hAnsi="仿宋_GB2312" w:cs="仿宋_GB2312" w:eastAsia="仿宋_GB2312"/>
        </w:rPr>
        <w:t>详见附件：五、供应商承诺书.docx</w:t>
      </w:r>
    </w:p>
    <w:p>
      <w:pPr>
        <w:pStyle w:val="null3"/>
        <w:ind w:firstLine="960"/>
      </w:pPr>
      <w:r>
        <w:rPr>
          <w:rFonts w:ascii="仿宋_GB2312" w:hAnsi="仿宋_GB2312" w:cs="仿宋_GB2312" w:eastAsia="仿宋_GB2312"/>
        </w:rPr>
        <w:t>详见附件：六、资格证明文件.docx</w:t>
      </w:r>
    </w:p>
    <w:p>
      <w:pPr>
        <w:pStyle w:val="null3"/>
        <w:ind w:firstLine="960"/>
      </w:pPr>
      <w:r>
        <w:rPr>
          <w:rFonts w:ascii="仿宋_GB2312" w:hAnsi="仿宋_GB2312" w:cs="仿宋_GB2312" w:eastAsia="仿宋_GB2312"/>
        </w:rPr>
        <w:t>详见附件：七、其它资料.docx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详见附件：附件1.参加本次政府采购活动前三年内，在经营活动中没有重大违法记录的书面声明docx.docx</w:t>
      </w:r>
    </w:p>
    <w:p>
      <w:pPr>
        <w:pStyle w:val="null3"/>
        <w:ind w:firstLine="960"/>
      </w:pPr>
      <w:r>
        <w:rPr>
          <w:rFonts w:ascii="仿宋_GB2312" w:hAnsi="仿宋_GB2312" w:cs="仿宋_GB2312" w:eastAsia="仿宋_GB2312"/>
        </w:rPr>
        <w:t>详见附件：附件2.供应商具有履行合同所必需的设备和专业技术能力的承诺docx.docx</w:t>
      </w:r>
    </w:p>
    <w:p>
      <w:pPr>
        <w:pStyle w:val="null3"/>
        <w:ind w:firstLine="960"/>
      </w:pPr>
      <w:r>
        <w:rPr>
          <w:rFonts w:ascii="仿宋_GB2312" w:hAnsi="仿宋_GB2312" w:cs="仿宋_GB2312" w:eastAsia="仿宋_GB2312"/>
        </w:rPr>
        <w:t>详见附件：附件3.非联合体磋商声明docx.docx</w:t>
      </w:r>
    </w:p>
    <w:p>
      <w:pPr>
        <w:pStyle w:val="null3"/>
        <w:ind w:firstLine="960"/>
      </w:pPr>
      <w:r>
        <w:rPr>
          <w:rFonts w:ascii="仿宋_GB2312" w:hAnsi="仿宋_GB2312" w:cs="仿宋_GB2312" w:eastAsia="仿宋_GB2312"/>
        </w:rPr>
        <w:t>详见附件：附件4：企业关系关联承诺书.docx</w:t>
      </w:r>
    </w:p>
    <w:p>
      <w:pPr>
        <w:pStyle w:val="null3"/>
        <w:ind w:firstLine="960"/>
      </w:pPr>
      <w:r>
        <w:rPr>
          <w:rFonts w:ascii="仿宋_GB2312" w:hAnsi="仿宋_GB2312" w:cs="仿宋_GB2312" w:eastAsia="仿宋_GB2312"/>
        </w:rPr>
        <w:t>详见附件：附件5（如是）：中小企业声明函（工程、服务）docx.docx</w:t>
      </w:r>
    </w:p>
    <w:p>
      <w:pPr>
        <w:pStyle w:val="null3"/>
        <w:ind w:firstLine="960"/>
      </w:pPr>
      <w:r>
        <w:rPr>
          <w:rFonts w:ascii="仿宋_GB2312" w:hAnsi="仿宋_GB2312" w:cs="仿宋_GB2312" w:eastAsia="仿宋_GB2312"/>
        </w:rPr>
        <w:t>详见附件：附件6.残疾人福利性单位声明函docx.docx</w:t>
      </w:r>
    </w:p>
    <w:p>
      <w:pPr>
        <w:pStyle w:val="null3"/>
        <w:ind w:firstLine="960"/>
      </w:pPr>
      <w:r>
        <w:rPr>
          <w:rFonts w:ascii="仿宋_GB2312" w:hAnsi="仿宋_GB2312" w:cs="仿宋_GB2312" w:eastAsia="仿宋_GB2312"/>
        </w:rPr>
        <w:t>详见附件：附件7（如是）：监狱企业证明文件docx.docx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