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11950">
      <w:pPr>
        <w:pStyle w:val="8"/>
        <w:rPr>
          <w:rFonts w:ascii="仿宋" w:hAnsi="仿宋"/>
          <w:sz w:val="28"/>
          <w:szCs w:val="28"/>
        </w:rPr>
      </w:pPr>
      <w:r>
        <w:rPr>
          <w:rFonts w:hint="eastAsia" w:ascii="仿宋" w:hAnsi="仿宋"/>
        </w:rPr>
        <w:t>合同草案条款</w:t>
      </w:r>
      <w:r>
        <w:rPr>
          <w:rFonts w:hint="eastAsia" w:ascii="仿宋" w:hAnsi="仿宋"/>
          <w:sz w:val="28"/>
          <w:szCs w:val="28"/>
        </w:rPr>
        <w:t>（仅供参考）</w:t>
      </w:r>
    </w:p>
    <w:tbl>
      <w:tblPr>
        <w:tblStyle w:val="9"/>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07"/>
        <w:gridCol w:w="6605"/>
      </w:tblGrid>
      <w:tr w14:paraId="459C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038A6D9F">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kern w:val="0"/>
                <w:sz w:val="24"/>
                <w:szCs w:val="24"/>
              </w:rPr>
            </w:pPr>
            <w:r>
              <w:rPr>
                <w:rFonts w:hint="eastAsia" w:ascii="仿宋" w:hAnsi="仿宋" w:eastAsia="仿宋" w:cs="仿宋"/>
                <w:sz w:val="24"/>
                <w:szCs w:val="24"/>
              </w:rPr>
              <w:t>1</w:t>
            </w:r>
          </w:p>
        </w:tc>
        <w:tc>
          <w:tcPr>
            <w:tcW w:w="1407" w:type="dxa"/>
            <w:tcBorders>
              <w:top w:val="single" w:color="auto" w:sz="4" w:space="0"/>
              <w:left w:val="single" w:color="auto" w:sz="4" w:space="0"/>
              <w:bottom w:val="single" w:color="auto" w:sz="4" w:space="0"/>
              <w:right w:val="single" w:color="auto" w:sz="4" w:space="0"/>
            </w:tcBorders>
            <w:vAlign w:val="center"/>
          </w:tcPr>
          <w:p w14:paraId="0C4F0422">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合同类型</w:t>
            </w:r>
          </w:p>
        </w:tc>
        <w:tc>
          <w:tcPr>
            <w:tcW w:w="6605" w:type="dxa"/>
            <w:tcBorders>
              <w:top w:val="single" w:color="auto" w:sz="4" w:space="0"/>
              <w:left w:val="single" w:color="auto" w:sz="4" w:space="0"/>
              <w:bottom w:val="single" w:color="auto" w:sz="4" w:space="0"/>
              <w:right w:val="single" w:color="auto" w:sz="4" w:space="0"/>
            </w:tcBorders>
            <w:vAlign w:val="center"/>
          </w:tcPr>
          <w:p w14:paraId="754E80F9">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买卖合同</w:t>
            </w:r>
          </w:p>
        </w:tc>
      </w:tr>
      <w:tr w14:paraId="2FC08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7D003941">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sz w:val="24"/>
                <w:szCs w:val="24"/>
              </w:rPr>
            </w:pPr>
            <w:r>
              <w:rPr>
                <w:rFonts w:hint="eastAsia" w:ascii="仿宋" w:hAnsi="仿宋" w:eastAsia="仿宋" w:cs="仿宋"/>
                <w:sz w:val="24"/>
                <w:szCs w:val="24"/>
              </w:rPr>
              <w:t>2</w:t>
            </w:r>
          </w:p>
        </w:tc>
        <w:tc>
          <w:tcPr>
            <w:tcW w:w="1407" w:type="dxa"/>
            <w:tcBorders>
              <w:top w:val="single" w:color="auto" w:sz="4" w:space="0"/>
              <w:left w:val="single" w:color="auto" w:sz="4" w:space="0"/>
              <w:bottom w:val="single" w:color="auto" w:sz="4" w:space="0"/>
              <w:right w:val="single" w:color="auto" w:sz="4" w:space="0"/>
            </w:tcBorders>
            <w:vAlign w:val="center"/>
          </w:tcPr>
          <w:p w14:paraId="2A949786">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定价方式</w:t>
            </w:r>
          </w:p>
        </w:tc>
        <w:tc>
          <w:tcPr>
            <w:tcW w:w="6605" w:type="dxa"/>
            <w:tcBorders>
              <w:top w:val="single" w:color="auto" w:sz="4" w:space="0"/>
              <w:left w:val="single" w:color="auto" w:sz="4" w:space="0"/>
              <w:bottom w:val="single" w:color="auto" w:sz="4" w:space="0"/>
              <w:right w:val="single" w:color="auto" w:sz="4" w:space="0"/>
            </w:tcBorders>
            <w:vAlign w:val="center"/>
          </w:tcPr>
          <w:p w14:paraId="4B84D7F9">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固定总价合同，在合同执行过程一次性包死</w:t>
            </w:r>
          </w:p>
        </w:tc>
      </w:tr>
      <w:tr w14:paraId="30D42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59B41C90">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sz w:val="24"/>
                <w:szCs w:val="24"/>
              </w:rPr>
            </w:pPr>
            <w:r>
              <w:rPr>
                <w:rFonts w:hint="eastAsia" w:ascii="仿宋" w:hAnsi="仿宋" w:eastAsia="仿宋" w:cs="仿宋"/>
                <w:sz w:val="24"/>
                <w:szCs w:val="24"/>
              </w:rPr>
              <w:t>3</w:t>
            </w:r>
          </w:p>
        </w:tc>
        <w:tc>
          <w:tcPr>
            <w:tcW w:w="8012" w:type="dxa"/>
            <w:gridSpan w:val="2"/>
            <w:tcBorders>
              <w:top w:val="single" w:color="auto" w:sz="4" w:space="0"/>
              <w:left w:val="single" w:color="auto" w:sz="4" w:space="0"/>
              <w:bottom w:val="single" w:color="auto" w:sz="4" w:space="0"/>
              <w:right w:val="single" w:color="auto" w:sz="4" w:space="0"/>
            </w:tcBorders>
            <w:vAlign w:val="center"/>
          </w:tcPr>
          <w:p w14:paraId="4805AC49">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合同文本主要条款</w:t>
            </w:r>
          </w:p>
        </w:tc>
      </w:tr>
      <w:tr w14:paraId="41E3F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7A2719AC">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sz w:val="24"/>
                <w:szCs w:val="24"/>
              </w:rPr>
            </w:pPr>
          </w:p>
        </w:tc>
        <w:tc>
          <w:tcPr>
            <w:tcW w:w="8012" w:type="dxa"/>
            <w:gridSpan w:val="2"/>
            <w:tcBorders>
              <w:top w:val="single" w:color="auto" w:sz="4" w:space="0"/>
              <w:left w:val="single" w:color="auto" w:sz="4" w:space="0"/>
              <w:bottom w:val="single" w:color="auto" w:sz="4" w:space="0"/>
              <w:right w:val="single" w:color="auto" w:sz="4" w:space="0"/>
            </w:tcBorders>
            <w:vAlign w:val="center"/>
          </w:tcPr>
          <w:p w14:paraId="10309697">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1、合同金额</w:t>
            </w:r>
          </w:p>
          <w:p w14:paraId="6ED7DC20">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1.1合同总价款（含税金额）</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 xml:space="preserve">大写：          </w:t>
            </w:r>
            <w:r>
              <w:rPr>
                <w:rFonts w:hint="eastAsia" w:ascii="仿宋" w:hAnsi="仿宋" w:eastAsia="仿宋" w:cs="仿宋"/>
                <w:sz w:val="24"/>
                <w:szCs w:val="24"/>
                <w:u w:val="single"/>
              </w:rPr>
              <w:t>（¥        元）</w:t>
            </w:r>
            <w:r>
              <w:rPr>
                <w:rFonts w:hint="eastAsia" w:ascii="仿宋" w:hAnsi="仿宋" w:eastAsia="仿宋" w:cs="仿宋"/>
                <w:sz w:val="24"/>
                <w:szCs w:val="24"/>
              </w:rPr>
              <w:t>。</w:t>
            </w:r>
          </w:p>
          <w:p w14:paraId="21F232EE">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1.2合同总价即中标价，为一次性报价，不受市场价变化影响。合同价格为含税价，乙方提供服务所发生的一切税费等都已包含于合同价款中。</w:t>
            </w:r>
          </w:p>
          <w:p w14:paraId="24344361">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2、结算方式</w:t>
            </w:r>
          </w:p>
          <w:p w14:paraId="3A49AAF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2.1结算单位：银行转账，由甲方负责结算。在付款前，乙方必须开具发票给甲方。</w:t>
            </w:r>
          </w:p>
          <w:p w14:paraId="57F3744E">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2.2付款方式：合同签订后，达到付款条件起7日内，支付合同总金额的95.00%。完成项目后，达到付款条件起 7 日内，支付合同总金额的 5.00%。</w:t>
            </w:r>
          </w:p>
          <w:p w14:paraId="72F3C5E9">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3、服务期</w:t>
            </w:r>
          </w:p>
          <w:p w14:paraId="602A05AC">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自合同签订后一年。</w:t>
            </w:r>
          </w:p>
          <w:p w14:paraId="0AD12E4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4、保密</w:t>
            </w:r>
          </w:p>
          <w:p w14:paraId="4ADCEDB7">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对工作中了解到的</w:t>
            </w:r>
            <w:bookmarkStart w:id="0" w:name="_GoBack"/>
            <w:bookmarkEnd w:id="0"/>
            <w:r>
              <w:rPr>
                <w:rFonts w:hint="eastAsia" w:ascii="仿宋" w:hAnsi="仿宋" w:eastAsia="仿宋" w:cs="仿宋"/>
                <w:sz w:val="24"/>
                <w:szCs w:val="24"/>
              </w:rPr>
              <w:t>甲方的机密等进行严格保密，不得向他人泄漏。本合同的解除或终止不免除乙方应承担的保密义务。</w:t>
            </w:r>
          </w:p>
          <w:p w14:paraId="7E52197F">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5、双方的权利和义务</w:t>
            </w:r>
          </w:p>
          <w:p w14:paraId="55D2FA80">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5.1甲方的权利和义务</w:t>
            </w:r>
          </w:p>
          <w:p w14:paraId="096ED038">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5.1.1在实施过程中甲方根据需要及时向乙方提供项目有关背景资料。</w:t>
            </w:r>
          </w:p>
          <w:p w14:paraId="793F5070">
            <w:pPr>
              <w:keepNext w:val="0"/>
              <w:keepLines w:val="0"/>
              <w:widowControl/>
              <w:suppressLineNumbers w:val="0"/>
              <w:spacing w:before="0" w:beforeAutospacing="0" w:after="0" w:afterAutospacing="0" w:line="460" w:lineRule="exact"/>
              <w:ind w:left="0" w:right="0" w:firstLine="431" w:firstLineChars="198"/>
              <w:rPr>
                <w:rFonts w:hint="eastAsia" w:ascii="仿宋" w:hAnsi="仿宋" w:eastAsia="仿宋" w:cs="仿宋"/>
                <w:sz w:val="24"/>
                <w:szCs w:val="24"/>
              </w:rPr>
            </w:pPr>
            <w:r>
              <w:rPr>
                <w:rFonts w:hint="eastAsia" w:ascii="仿宋" w:hAnsi="仿宋" w:eastAsia="仿宋" w:cs="仿宋"/>
                <w:spacing w:val="-11"/>
                <w:sz w:val="24"/>
                <w:szCs w:val="24"/>
              </w:rPr>
              <w:t>5.1.2甲方应选派人员参加项目的全过程，配合乙方人员进行项目实施</w:t>
            </w:r>
            <w:r>
              <w:rPr>
                <w:rFonts w:hint="eastAsia" w:ascii="仿宋" w:hAnsi="仿宋" w:eastAsia="仿宋" w:cs="仿宋"/>
                <w:sz w:val="24"/>
                <w:szCs w:val="24"/>
              </w:rPr>
              <w:t>。</w:t>
            </w:r>
          </w:p>
          <w:p w14:paraId="63CCBE44">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5.1.3甲方指派的项目负责人，全权代表甲方进行项目实施协调工作，并对乙方提交的项目过程文档进行签字确认。</w:t>
            </w:r>
          </w:p>
          <w:p w14:paraId="54B2803A">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5.1.4按照合同约定向乙方支付合同款项。</w:t>
            </w:r>
          </w:p>
          <w:p w14:paraId="4B92559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5.1.5甲方负责组织项目绩效考核。</w:t>
            </w:r>
          </w:p>
          <w:p w14:paraId="7F8B277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5.2乙方的权利和义务</w:t>
            </w:r>
          </w:p>
          <w:p w14:paraId="383C986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5.2.1 乙方应当依据合同规定的内容，做好项目的实施工作，协助甲方做好项目管理工作。根据项目工作各阶段的交付要求，向甲方提交项目实施的各项成果，按工作任务所规定的内容、进度及提交文档等交付物，并对其内容负责。交付形式为计算机光盘和装订成册的纸介质形式。</w:t>
            </w:r>
          </w:p>
          <w:p w14:paraId="6D989836">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5.2.2 乙方应当合理组织足够的技术力量，指派技术小组执行本合同的工作。该技术小组应和甲方建立友好的协作关系。按照合同的时间安排，甲方代表和乙方技术小组之间建立技术交流的机制，高质量按时完成甲方提出的各项工作任务。</w:t>
            </w:r>
          </w:p>
          <w:p w14:paraId="5EC964CE">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5.2.3 乙方指定一名项目经理作为乙方本项目最高管理者，协助甲方人员解决可能出现的技术问题。如果甲方认为在工作现场的乙方任何成员不称职，甲方有权要求乙方另外指派合乎甲方要求的人员。</w:t>
            </w:r>
          </w:p>
          <w:p w14:paraId="726E8A50">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5.2.4 在项目实施过程中，乙方应当按甲方提出的时间节点完成各项工作，并按项目进度提交相应的交付物，对项目过程中的需求偏差、进度偏差，应按项目的变更管理流程，与甲方及时协商、确认和调整。</w:t>
            </w:r>
          </w:p>
          <w:p w14:paraId="5C90810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5.2.5 在项目实施过程中，乙方不得更换项目组主要成员，如遇特殊情况需要更换，需经过甲方同意。乙方因项目负责人及技术人员调整或流动、技术设施故障，或因注销、吊销、经营困难等原因导致无法完成本合同项目的，须及时书面通知甲方，并退还甲方已支付的全部费用。如给甲方造成损失的，乙方应赔偿甲方全部损失。</w:t>
            </w:r>
          </w:p>
          <w:p w14:paraId="583B49D1">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5.2.6 乙方应保证整个项目的整体实施效果达到项目工作的总体目标，对项目的实施工作承担总体责任。</w:t>
            </w:r>
          </w:p>
          <w:p w14:paraId="04F3842F">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5.2.7 乙方应及时完成交接工作并提供服务，运维服务不得以任何理由中断，如对甲方工作产生影响，乙方应承担相应责任。</w:t>
            </w:r>
          </w:p>
          <w:p w14:paraId="7C0F84B2">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5.3乙方承诺</w:t>
            </w:r>
          </w:p>
          <w:p w14:paraId="4253A75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5.3.1乙方应对其提供最终成果的合法性负责。</w:t>
            </w:r>
          </w:p>
          <w:p w14:paraId="45D8FC03">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5.3.2未经甲方书面同意，乙方不得将本合同项下全部或部分工作转交第三方完成。</w:t>
            </w:r>
          </w:p>
          <w:p w14:paraId="58E74CA8">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5.3.3乙方需派一名项目经理，直接与甲方沟通，项目经理接收甲方提出的问题与要求，并及时向公司申请调动资源，解决在项目实施过程中遇到的问题。</w:t>
            </w:r>
          </w:p>
          <w:p w14:paraId="02E29C2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5.3.4因乙方违约或过错，造成任何一方或其他第三方人身伤害或财产损失的，由乙方承担全部责任，导致甲方承担责任或遭受损失的，甲方有权向乙方追偿或索赔，并从合同价款中直接扣除。</w:t>
            </w:r>
          </w:p>
          <w:p w14:paraId="20FAA4A2">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5.3.5乙方在履行合同期间应遵守甲方出台的各项制度。</w:t>
            </w:r>
          </w:p>
          <w:p w14:paraId="79FB8D13">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6、合同争议的解决</w:t>
            </w:r>
          </w:p>
          <w:p w14:paraId="2EBE9635">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合同履行过程中发生的争议，双方应友好协商解决。协商不成时，双方均同意采用以下第（  ）种争议解决方式：</w:t>
            </w:r>
          </w:p>
          <w:p w14:paraId="6496E01F">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6.1甲、乙双方均同意向（甲方所在地人民法院）提起诉讼。</w:t>
            </w:r>
          </w:p>
          <w:p w14:paraId="6366C4B2">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6.2甲、乙双方均同意向西安仲裁委员会提起仲裁。</w:t>
            </w:r>
          </w:p>
        </w:tc>
      </w:tr>
      <w:tr w14:paraId="3099F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18C6E317">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color w:val="000000"/>
                <w:sz w:val="24"/>
                <w:szCs w:val="24"/>
              </w:rPr>
            </w:pPr>
            <w:r>
              <w:rPr>
                <w:rFonts w:hint="eastAsia" w:ascii="仿宋" w:hAnsi="仿宋" w:eastAsia="仿宋" w:cs="仿宋"/>
                <w:sz w:val="24"/>
                <w:szCs w:val="24"/>
              </w:rPr>
              <w:t>4</w:t>
            </w:r>
          </w:p>
        </w:tc>
        <w:tc>
          <w:tcPr>
            <w:tcW w:w="1407" w:type="dxa"/>
            <w:tcBorders>
              <w:top w:val="single" w:color="auto" w:sz="4" w:space="0"/>
              <w:left w:val="single" w:color="auto" w:sz="4" w:space="0"/>
              <w:bottom w:val="single" w:color="auto" w:sz="4" w:space="0"/>
              <w:right w:val="single" w:color="auto" w:sz="4" w:space="0"/>
            </w:tcBorders>
            <w:vAlign w:val="center"/>
          </w:tcPr>
          <w:p w14:paraId="61C18253">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履约验收方案</w:t>
            </w:r>
          </w:p>
        </w:tc>
        <w:tc>
          <w:tcPr>
            <w:tcW w:w="6605" w:type="dxa"/>
            <w:tcBorders>
              <w:top w:val="single" w:color="auto" w:sz="4" w:space="0"/>
              <w:left w:val="single" w:color="auto" w:sz="4" w:space="0"/>
              <w:bottom w:val="single" w:color="auto" w:sz="4" w:space="0"/>
              <w:right w:val="single" w:color="auto" w:sz="4" w:space="0"/>
            </w:tcBorders>
            <w:vAlign w:val="center"/>
          </w:tcPr>
          <w:p w14:paraId="267D7674">
            <w:pPr>
              <w:keepNext w:val="0"/>
              <w:keepLines w:val="0"/>
              <w:widowControl/>
              <w:suppressLineNumbers w:val="0"/>
              <w:spacing w:before="0" w:beforeAutospacing="0" w:after="0" w:afterAutospacing="0" w:line="360" w:lineRule="auto"/>
              <w:ind w:left="0" w:right="0" w:firstLine="480" w:firstLineChars="200"/>
              <w:rPr>
                <w:rFonts w:hint="eastAsia" w:ascii="仿宋" w:hAnsi="仿宋" w:eastAsia="仿宋" w:cs="仿宋"/>
                <w:sz w:val="24"/>
                <w:szCs w:val="24"/>
              </w:rPr>
            </w:pPr>
            <w:r>
              <w:rPr>
                <w:rFonts w:hint="eastAsia" w:ascii="仿宋" w:hAnsi="仿宋" w:eastAsia="仿宋" w:cs="仿宋"/>
                <w:sz w:val="24"/>
                <w:szCs w:val="24"/>
              </w:rPr>
              <w:t>服务期满后，由乙方向甲方递交验收通知书，经甲方确认后，组织乙方进行系统验收。</w:t>
            </w:r>
          </w:p>
          <w:p w14:paraId="646EAE84">
            <w:pPr>
              <w:keepNext w:val="0"/>
              <w:keepLines w:val="0"/>
              <w:widowControl/>
              <w:suppressLineNumbers w:val="0"/>
              <w:spacing w:before="0" w:beforeAutospacing="0" w:after="0" w:afterAutospacing="0" w:line="360" w:lineRule="auto"/>
              <w:ind w:left="0" w:right="0" w:firstLine="480" w:firstLineChars="200"/>
              <w:rPr>
                <w:rFonts w:hint="eastAsia" w:ascii="仿宋" w:hAnsi="仿宋" w:eastAsia="仿宋" w:cs="仿宋"/>
                <w:sz w:val="24"/>
                <w:szCs w:val="24"/>
              </w:rPr>
            </w:pPr>
            <w:r>
              <w:rPr>
                <w:rFonts w:hint="eastAsia" w:ascii="仿宋" w:hAnsi="仿宋" w:eastAsia="仿宋" w:cs="仿宋"/>
                <w:sz w:val="24"/>
                <w:szCs w:val="24"/>
              </w:rPr>
              <w:t>验收合格后，填写政府采购项目验收单作为对本次服务的最终认可。</w:t>
            </w:r>
          </w:p>
        </w:tc>
      </w:tr>
      <w:tr w14:paraId="42D03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0"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0E54D07F">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sz w:val="24"/>
                <w:szCs w:val="24"/>
              </w:rPr>
            </w:pPr>
            <w:r>
              <w:rPr>
                <w:rFonts w:hint="eastAsia" w:ascii="仿宋" w:hAnsi="仿宋" w:eastAsia="仿宋" w:cs="仿宋"/>
                <w:sz w:val="24"/>
                <w:szCs w:val="24"/>
              </w:rPr>
              <w:t>5</w:t>
            </w:r>
          </w:p>
        </w:tc>
        <w:tc>
          <w:tcPr>
            <w:tcW w:w="1407" w:type="dxa"/>
            <w:tcBorders>
              <w:top w:val="single" w:color="auto" w:sz="4" w:space="0"/>
              <w:left w:val="single" w:color="auto" w:sz="4" w:space="0"/>
              <w:bottom w:val="single" w:color="auto" w:sz="4" w:space="0"/>
              <w:right w:val="single" w:color="auto" w:sz="4" w:space="0"/>
            </w:tcBorders>
            <w:vAlign w:val="center"/>
          </w:tcPr>
          <w:p w14:paraId="7C4D8F86">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风险管控措施</w:t>
            </w:r>
          </w:p>
        </w:tc>
        <w:tc>
          <w:tcPr>
            <w:tcW w:w="6605" w:type="dxa"/>
            <w:tcBorders>
              <w:top w:val="single" w:color="auto" w:sz="4" w:space="0"/>
              <w:left w:val="single" w:color="auto" w:sz="4" w:space="0"/>
              <w:bottom w:val="single" w:color="auto" w:sz="4" w:space="0"/>
              <w:right w:val="single" w:color="auto" w:sz="4" w:space="0"/>
            </w:tcBorders>
            <w:vAlign w:val="center"/>
          </w:tcPr>
          <w:p w14:paraId="49213D1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1.双方约定不可抗力情况指：双方不可预见、不可避免、不可克服的客观情况，但不包括双方的违约或疏忽。这些事件包括但不限于：战争、严重火灾、洪水、台风、地震等。</w:t>
            </w:r>
          </w:p>
          <w:p w14:paraId="309A7D08">
            <w:pPr>
              <w:keepNext w:val="0"/>
              <w:keepLines w:val="0"/>
              <w:widowControl/>
              <w:suppressLineNumbers w:val="0"/>
              <w:spacing w:before="0" w:beforeAutospacing="0" w:after="0" w:afterAutospacing="0" w:line="460" w:lineRule="exact"/>
              <w:ind w:left="0" w:right="0" w:firstLine="451" w:firstLineChars="198"/>
              <w:rPr>
                <w:rFonts w:hint="eastAsia" w:ascii="仿宋" w:hAnsi="仿宋" w:eastAsia="仿宋" w:cs="仿宋"/>
                <w:sz w:val="24"/>
                <w:szCs w:val="24"/>
              </w:rPr>
            </w:pPr>
            <w:r>
              <w:rPr>
                <w:rFonts w:hint="eastAsia" w:ascii="仿宋" w:hAnsi="仿宋" w:eastAsia="仿宋" w:cs="仿宋"/>
                <w:spacing w:val="-6"/>
                <w:sz w:val="24"/>
                <w:szCs w:val="24"/>
              </w:rPr>
              <w:t>2.依据《中华人民共和国民法典》《中华人民共和国政府采购法》《中华人民共和国政府采购法实施条例》的相关条款和本合同约定，成交投标人未全面履行合同义务或者发生违约，采购人会同采购代理机构有权终止合同，依法向中标投标人进行经济索赔，并报请政府采购监督管理机关进行相应的行政处罚。采购人违约的，应当赔偿给中标投标人造成的经济损失</w:t>
            </w:r>
            <w:r>
              <w:rPr>
                <w:rFonts w:hint="eastAsia" w:ascii="仿宋" w:hAnsi="仿宋" w:eastAsia="仿宋" w:cs="仿宋"/>
                <w:sz w:val="24"/>
                <w:szCs w:val="24"/>
              </w:rPr>
              <w:t>。</w:t>
            </w:r>
          </w:p>
          <w:p w14:paraId="4D4CC94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3、知识产权</w:t>
            </w:r>
          </w:p>
          <w:p w14:paraId="13C90553">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3.1本项目知识产权归甲方所有。</w:t>
            </w:r>
          </w:p>
          <w:p w14:paraId="18E6296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 xml:space="preserve">3.2乙方无论出于任何目的如在其他地方使用该成果，必须经甲方同意方可使用。否则，贵甲方有权要求终止涉及到该中标知识产权的任何使用活动并保留追究卖方相应的法律责任的权利。 </w:t>
            </w:r>
          </w:p>
          <w:p w14:paraId="6227F3DC">
            <w:pPr>
              <w:keepNext w:val="0"/>
              <w:keepLines w:val="0"/>
              <w:widowControl/>
              <w:suppressLineNumbers w:val="0"/>
              <w:spacing w:before="0" w:beforeAutospacing="0" w:after="0" w:afterAutospacing="0" w:line="460" w:lineRule="exact"/>
              <w:ind w:left="0" w:right="0" w:firstLine="431" w:firstLineChars="198"/>
              <w:rPr>
                <w:rFonts w:hint="eastAsia" w:ascii="仿宋" w:hAnsi="仿宋" w:eastAsia="仿宋" w:cs="仿宋"/>
                <w:color w:val="000000"/>
                <w:sz w:val="24"/>
                <w:szCs w:val="24"/>
              </w:rPr>
            </w:pPr>
            <w:r>
              <w:rPr>
                <w:rFonts w:hint="eastAsia" w:ascii="仿宋" w:hAnsi="仿宋" w:eastAsia="仿宋" w:cs="仿宋"/>
                <w:spacing w:val="-11"/>
                <w:sz w:val="24"/>
                <w:szCs w:val="24"/>
              </w:rPr>
              <w:t>3.3乙方为执行本合同而提供的技术资料使用权归甲方所有。</w:t>
            </w:r>
          </w:p>
        </w:tc>
      </w:tr>
    </w:tbl>
    <w:p w14:paraId="397F8FCD"/>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A32D5">
    <w:pPr>
      <w:pStyle w:val="6"/>
      <w:widowControl w:val="0"/>
      <w:pBdr>
        <w:top w:val="none" w:color="auto" w:sz="0" w:space="1"/>
        <w:left w:val="none" w:color="auto" w:sz="0" w:space="4"/>
        <w:bottom w:val="none" w:color="auto" w:sz="0" w:space="1"/>
        <w:right w:val="none" w:color="auto" w:sz="0" w:space="4"/>
        <w:between w:val="none" w:color="auto" w:sz="0" w:space="0"/>
      </w:pBdr>
      <w:spacing w:line="14" w:lineRule="auto"/>
      <w:jc w:val="both"/>
      <w:rPr>
        <w:sz w:val="20"/>
      </w:rPr>
    </w:pPr>
    <w:r>
      <mc:AlternateContent>
        <mc:Choice Requires="wps">
          <w:drawing>
            <wp:anchor distT="0" distB="0" distL="114300" distR="114300" simplePos="0" relativeHeight="251659264" behindDoc="1" locked="0" layoutInCell="1" allowOverlap="1">
              <wp:simplePos x="0" y="0"/>
              <wp:positionH relativeFrom="page">
                <wp:posOffset>1043305</wp:posOffset>
              </wp:positionH>
              <wp:positionV relativeFrom="page">
                <wp:posOffset>9612630</wp:posOffset>
              </wp:positionV>
              <wp:extent cx="5699125" cy="0"/>
              <wp:effectExtent l="0" t="4445" r="0" b="5080"/>
              <wp:wrapNone/>
              <wp:docPr id="33" name="直线 28"/>
              <wp:cNvGraphicFramePr/>
              <a:graphic xmlns:a="http://schemas.openxmlformats.org/drawingml/2006/main">
                <a:graphicData uri="http://schemas.microsoft.com/office/word/2010/wordprocessingShape">
                  <wps:wsp>
                    <wps:cNvCnPr/>
                    <wps:spPr>
                      <a:xfrm>
                        <a:off x="0" y="0"/>
                        <a:ext cx="569912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28" o:spid="_x0000_s1026" o:spt="20" style="position:absolute;left:0pt;margin-left:82.15pt;margin-top:756.9pt;height:0pt;width:448.75pt;mso-position-horizontal-relative:page;mso-position-vertical-relative:page;z-index:-251657216;mso-width-relative:page;mso-height-relative:page;" filled="f" stroked="t" coordsize="21600,21600" o:gfxdata="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APVO1QAAAA4BAAAP&#10;AAAAAAAAAAEAIAAAACIAAABkcnMvZG93bnJldi54bWxQSwECFAAUAAAACACHTuJA1H0n8OIBAADR&#10;AwAADgAAAAAAAAABACAAAAAkAQAAZHJzL2Uyb0RvYy54bWxQSwUGAAAAAAYABgBZAQAAeAUAAAAA&#10;">
              <v:fill on="f" focussize="0,0"/>
              <v:stroke weight="0.72pt" color="#000000" joinstyle="round"/>
              <v:imagedata o:title=""/>
              <o:lock v:ext="edit" aspectratio="f"/>
            </v:lin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008A0"/>
    <w:rsid w:val="2AC820D2"/>
    <w:rsid w:val="380E7B02"/>
    <w:rsid w:val="4991640A"/>
    <w:rsid w:val="4A6823A4"/>
    <w:rsid w:val="4A973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qFormat/>
    <w:uiPriority w:val="0"/>
    <w:pPr>
      <w:keepNext/>
      <w:keepLines/>
      <w:spacing w:line="576" w:lineRule="auto"/>
      <w:jc w:val="center"/>
      <w:outlineLvl w:val="0"/>
    </w:pPr>
    <w:rPr>
      <w:b/>
      <w:kern w:val="44"/>
      <w:sz w:val="32"/>
    </w:rPr>
  </w:style>
  <w:style w:type="paragraph" w:styleId="4">
    <w:name w:val="heading 5"/>
    <w:basedOn w:val="1"/>
    <w:qFormat/>
    <w:uiPriority w:val="1"/>
    <w:pPr>
      <w:ind w:left="2679"/>
      <w:outlineLvl w:val="4"/>
    </w:pPr>
    <w:rPr>
      <w:rFonts w:ascii="仿宋" w:hAnsi="仿宋" w:eastAsia="仿宋" w:cs="仿宋"/>
      <w:sz w:val="28"/>
      <w:szCs w:val="28"/>
    </w:rPr>
  </w:style>
  <w:style w:type="paragraph" w:styleId="5">
    <w:name w:val="heading 6"/>
    <w:basedOn w:val="1"/>
    <w:qFormat/>
    <w:uiPriority w:val="1"/>
    <w:pPr>
      <w:ind w:left="440"/>
      <w:outlineLvl w:val="5"/>
    </w:pPr>
    <w:rPr>
      <w:rFonts w:ascii="仿宋" w:hAnsi="仿宋" w:eastAsia="仿宋" w:cs="仿宋"/>
      <w:b/>
      <w:bCs/>
      <w:sz w:val="24"/>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note text"/>
    <w:basedOn w:val="1"/>
    <w:unhideWhenUsed/>
    <w:qFormat/>
    <w:uiPriority w:val="99"/>
    <w:pPr>
      <w:snapToGrid w:val="0"/>
      <w:spacing w:line="360" w:lineRule="auto"/>
      <w:ind w:firstLine="200" w:firstLineChars="200"/>
      <w:jc w:val="left"/>
    </w:pPr>
    <w:rPr>
      <w:kern w:val="0"/>
      <w:sz w:val="18"/>
      <w:szCs w:val="18"/>
    </w:rPr>
  </w:style>
  <w:style w:type="paragraph" w:styleId="6">
    <w:name w:val="Body Text"/>
    <w:basedOn w:val="1"/>
    <w:next w:val="1"/>
    <w:qFormat/>
    <w:uiPriority w:val="99"/>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1">
    <w:name w:val="List Paragraph"/>
    <w:basedOn w:val="1"/>
    <w:autoRedefine/>
    <w:qFormat/>
    <w:uiPriority w:val="34"/>
    <w:pPr>
      <w:ind w:firstLine="420" w:firstLineChars="200"/>
    </w:pPr>
    <w:rPr>
      <w:rFonts w:ascii="Calibri" w:hAnsi="Calibri"/>
      <w:szCs w:val="22"/>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1928</Words>
  <Characters>2029</Characters>
  <Lines>0</Lines>
  <Paragraphs>0</Paragraphs>
  <TotalTime>3</TotalTime>
  <ScaleCrop>false</ScaleCrop>
  <LinksUpToDate>false</LinksUpToDate>
  <CharactersWithSpaces>2059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2025-04-16T15:25:00Z</dcterms:created>
  <dc:creator>lenovo</dc:creator>
  <cp:lastModifiedBy>趁早</cp:lastModifiedBy>
  <dcterms:modified xsi:type="dcterms:W3CDTF">2025-06-25T07:19:39Z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eyJoZGlkIjoiNzgwNjczN2Q1OTVkMWNkMTQxODAzYzYyZWYzMjAxZjgiLCJ1c2VySWQiOiIyNDE1Nzk0OTUifQ==</vt:lpwstr>
  </property>
  <property fmtid="{D5CDD505-2E9C-101B-9397-08002B2CF9AE}" pid="4" name="ICV">
    <vt:lpwstr>98A918F45F374100A088BD6986D5B95E_12</vt:lpwstr>
  </property>
</Properties>
</file>