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EB8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宋体" w:hAnsi="宋体"/>
          <w:b/>
          <w:bCs/>
          <w:color w:val="auto"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zh-CN"/>
        </w:rPr>
        <w:t>拟签订的合同文本</w:t>
      </w:r>
    </w:p>
    <w:p w14:paraId="0E0A738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  <w:t>（此合同主要条款，除商务条款外，其余部分只作为参考，最终合同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  <w:t>采购人给出的合同定稿为准。）</w:t>
      </w:r>
    </w:p>
    <w:p w14:paraId="7B95872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6A596A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委托单位（甲方）：</w:t>
      </w:r>
    </w:p>
    <w:p w14:paraId="0D02E1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受托单位（乙方）：</w:t>
      </w:r>
    </w:p>
    <w:p w14:paraId="568B6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</w:p>
    <w:p w14:paraId="194D4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甲乙双方本着平等、自愿、公平的原则，经友好协商，就HIS及相关系统/接口和数据库维保项目事宜签署本维保服务合同（“ 合同”），以兹双方遵照执行。</w:t>
      </w:r>
      <w:bookmarkStart w:id="0" w:name="_GoBack"/>
      <w:bookmarkEnd w:id="0"/>
    </w:p>
    <w:p w14:paraId="59135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 、维保标的、维保技术标准</w:t>
      </w:r>
    </w:p>
    <w:p w14:paraId="4C308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1、维保标的：甲方委托乙方对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友谊院区及西咸院区的</w:t>
      </w:r>
      <w:r>
        <w:rPr>
          <w:rFonts w:hint="eastAsia" w:ascii="仿宋" w:hAnsi="仿宋" w:eastAsia="仿宋" w:cs="仿宋"/>
          <w:sz w:val="24"/>
          <w:szCs w:val="24"/>
        </w:rPr>
        <w:t>HIS及相关系统/接口和数据库维保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，具体内容详见招标文件的采购服务要求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64F93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2、维保技术标准：乙方应按国家及所在地的法律、法规、规章、规范性文件、行业技术标准。</w:t>
      </w:r>
    </w:p>
    <w:p w14:paraId="011FC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二、合同周期：</w:t>
      </w:r>
    </w:p>
    <w:p w14:paraId="0E377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有效期为三年，合同一年一签；每年维保期结束后，供应商应按要求提供维保记录，根据院方考核结果决定是否续签下一年合同。</w:t>
      </w:r>
    </w:p>
    <w:p w14:paraId="17C495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服务内容：</w:t>
      </w:r>
    </w:p>
    <w:p w14:paraId="3A53451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软件系统及接口维保服务内容</w:t>
      </w:r>
    </w:p>
    <w:p w14:paraId="1980006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基于医院信息化发展情况，提供未来3年信息化发展规划方案案；且在组织实施过程中提出合理化建议，完善并修订发展规划方案案。</w:t>
      </w:r>
    </w:p>
    <w:p w14:paraId="5A0C0C4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4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在合同有效期内，按照国家政策性文件要求及医院业务需求，为医院提供表一系统功能定制开发服务，服务内容包括但不限于方案设计、技术咨询、功能改造等。如需求变化重大且超出维保范围，费用则以双方协商为准。</w:t>
      </w:r>
    </w:p>
    <w:p w14:paraId="23479B2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left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（3）根据医院实际使用情况和业务需求，为表一系统功能及接口进行优化改进，包括但不限于BUG修复和优化、报表开发、接口调整等，提高系统的安全性、易用性和实用性等。</w:t>
      </w:r>
    </w:p>
    <w:p w14:paraId="5AC3BC1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4）为医院相关人员提供表一涉及的系统进行培训，包括但不限于新功能培训、系统升级培训等，形成培训记录并有双方签字确认，留存培训照片。此外在合同金额内，投标方需承担采购方人员参加如下课程的培训学习经费，包括CISP-DSG即注册数据安全治理专业人员认证1名，并协助院方人员参加认证考试或取得对应证书的相关事宜。</w:t>
      </w:r>
    </w:p>
    <w:p w14:paraId="39F0F94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（5）为表一软件系统及接口提供日常基础运行、维护，包括但不限于系统故障排查及处理、接口问题的处理、系统使用问题解答与处理、日常后台数据修改等。</w:t>
      </w:r>
    </w:p>
    <w:p w14:paraId="04126DD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6）表一软件系统及接口故障，包括但不限于巡检过程中发现的问题、突发故障等，工作时间则由现场工程师进行处理，非工作时间则先由工程师立即远程进行处理，如果远程无法处理，应立即到达现场进行处理，运维人员应做到一般故障的响应时间不超过1小时，严重故障的响应时间不超过30分钟。每次重大故障后（如全院级故障、给医院造成损失等），提供系统故障记录分析和问题报告。报告包括但不限于故障发生的原因及预防、解决的方案等，报告需有双方签字确认。</w:t>
      </w:r>
    </w:p>
    <w:p w14:paraId="73CA128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7）为表一软件系统提供整体的巡检及评估，保障软件系统稳定运行，巡检频次包括但不限于每月巡检、法定节假日前巡检等，以上巡检方式均须提供巡检记录；巡检记录的具体形式与内容须满足医院内部管理制度要求，形式包括但不限于：有双方签字的纸质版记录、巡检照片等，内容包括但不限于：软件系统巡检建议及结论等。</w:t>
      </w:r>
    </w:p>
    <w:p w14:paraId="0356B7D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（8）维保期内，提供其他（含第三方）已验收项目与表一软件系统新增接口的开发及测试。</w:t>
      </w:r>
    </w:p>
    <w:p w14:paraId="10F7E6D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（9）维保期内，按照甲方要求，为甲方提供其他新建项目接口服务（如新增视图类型接口、WebService协议接口，该接口需符合HL7 V3.0标准、存储过程接口等），接口服务内容包括但不限于开发、修改、测试等。</w:t>
      </w:r>
    </w:p>
    <w:p w14:paraId="44F45AD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（10）基于表一软件系统涉及的业务，提供相关的数据上报服务。</w:t>
      </w:r>
    </w:p>
    <w:p w14:paraId="1895CC8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（11）配合甲方进行等保测评工作。</w:t>
      </w:r>
    </w:p>
    <w:p w14:paraId="3D99E61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数据库维保服务内容</w:t>
      </w:r>
    </w:p>
    <w:p w14:paraId="5B79509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1）为医院上述数据库提供整体的巡检及评估，保障数据库稳定运行，巡检频次包括但不限于每日巡检、每月巡检、法定节假日前巡检等，以上巡检方式均须提供巡检记录；巡检记录的具体形式与内容须满足医院内部管理制度要求，形式包括但不限于：有双方签字的纸质版记录、巡检照片等，内容包括但不限于：数据库巡检建议及结论等。</w:t>
      </w:r>
    </w:p>
    <w:p w14:paraId="00AD0A9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2）表一中数据库出现故障时，包括但不限于巡检过程中发现的故障、以及突发故障等，工作时间由现场工程师处理，非工作时间先由工程师立即远程进行处理，如果远程无法解决，应立即到达现场进行处理，响应时间自接到故障报警起不得超过15分钟。每次故障处理完成后，须提供数据库故障问题记录和分析报告。问题记录和分析报告包应包含故障发生的具体时间、原因、解决的方案、预防建议等，并有双方签字确认。</w:t>
      </w:r>
    </w:p>
    <w:p w14:paraId="7F95AA1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（3）协助医院应对与信息化相关的临时性、紧急性工作；按照医院要求，凡遇见重大事件及任务时，须DBA现场支持。</w:t>
      </w:r>
    </w:p>
    <w:p w14:paraId="0557EE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（4）数据提取类服务：按照医院要求，配合医院实施包括但不限于查询和提取等数据及数据库方面的服务。</w:t>
      </w:r>
    </w:p>
    <w:p w14:paraId="64E443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（5）升级服务：在约定服务期内，向医院提供包含但不限于表一中的软件系统、数据库版本等升级计划及服务，在院方确认后，组织实施，并确保问题解决的时效性、完整性。</w:t>
      </w:r>
    </w:p>
    <w:p w14:paraId="09E3D4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6）按照国家相关标准和医院相关需求，每季度进行表一中的数据库备份、还原及恢复验证，并提供备份还原报告，形成过程资料，资料包括但不限于有双方签字的纸质版记录、相关照片等，具体形式与内容需满足医院内部管理制度要求。</w:t>
      </w:r>
    </w:p>
    <w:p w14:paraId="2CB9BE1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400" w:lineRule="exact"/>
        <w:ind w:firstLine="480" w:firstLineChars="200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（7）数据库结构优化以及存储优化方面的内容，包含但不限于：字段类型、表结构、索引及缓存、存储等各方面内容优化。</w:t>
      </w:r>
    </w:p>
    <w:p w14:paraId="0C40D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四</w:t>
      </w:r>
      <w:r>
        <w:rPr>
          <w:rFonts w:hint="eastAsia" w:ascii="仿宋" w:hAnsi="仿宋" w:eastAsia="仿宋" w:cs="仿宋"/>
          <w:sz w:val="24"/>
          <w:szCs w:val="24"/>
        </w:rPr>
        <w:t>、付款方式</w:t>
      </w:r>
    </w:p>
    <w:p w14:paraId="66E99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合同维保期结束后，乙方提供维保记录等资料，甲方进行考核及验收，根据最终考核分值，按比例支付维保费用，达到付款条件起 10 日内，支付合同总金额的 100.00%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p w14:paraId="4F4945C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五、维保考核及验收</w:t>
      </w:r>
    </w:p>
    <w:p w14:paraId="37E45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维保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考核</w:t>
      </w:r>
    </w:p>
    <w:p w14:paraId="77689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维保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考核</w:t>
      </w:r>
      <w:r>
        <w:rPr>
          <w:rFonts w:hint="eastAsia" w:ascii="仿宋" w:hAnsi="仿宋" w:eastAsia="仿宋" w:cs="仿宋"/>
          <w:sz w:val="24"/>
          <w:szCs w:val="24"/>
        </w:rPr>
        <w:t>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维保情况赋分，根据</w:t>
      </w:r>
      <w:r>
        <w:rPr>
          <w:rFonts w:hint="eastAsia" w:ascii="仿宋" w:hAnsi="仿宋" w:eastAsia="仿宋" w:cs="仿宋"/>
          <w:sz w:val="24"/>
          <w:szCs w:val="24"/>
        </w:rPr>
        <w:t>最终分值，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按比例支付维保费用</w:t>
      </w:r>
      <w:r>
        <w:rPr>
          <w:rFonts w:hint="eastAsia" w:ascii="仿宋" w:hAnsi="仿宋" w:eastAsia="仿宋" w:cs="仿宋"/>
          <w:sz w:val="24"/>
          <w:szCs w:val="24"/>
        </w:rPr>
        <w:t>。具体考核分值与扣除比例如下：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1891"/>
        <w:gridCol w:w="1663"/>
        <w:gridCol w:w="2654"/>
      </w:tblGrid>
      <w:tr w14:paraId="7A0D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4" w:type="dxa"/>
          </w:tcPr>
          <w:p w14:paraId="636D1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考核分值（分 ）</w:t>
            </w:r>
          </w:p>
        </w:tc>
        <w:tc>
          <w:tcPr>
            <w:tcW w:w="1891" w:type="dxa"/>
          </w:tcPr>
          <w:p w14:paraId="1C034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扣除百分比（%）</w:t>
            </w:r>
          </w:p>
        </w:tc>
        <w:tc>
          <w:tcPr>
            <w:tcW w:w="1663" w:type="dxa"/>
          </w:tcPr>
          <w:p w14:paraId="2014A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维保费用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  <w:tc>
          <w:tcPr>
            <w:tcW w:w="2654" w:type="dxa"/>
          </w:tcPr>
          <w:p w14:paraId="384E2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 注</w:t>
            </w:r>
          </w:p>
        </w:tc>
      </w:tr>
      <w:tr w14:paraId="0C81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4" w:type="dxa"/>
            <w:vAlign w:val="center"/>
          </w:tcPr>
          <w:p w14:paraId="76D9E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至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分（含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分）</w:t>
            </w:r>
          </w:p>
        </w:tc>
        <w:tc>
          <w:tcPr>
            <w:tcW w:w="1891" w:type="dxa"/>
            <w:vAlign w:val="center"/>
          </w:tcPr>
          <w:p w14:paraId="296BE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不扣除</w:t>
            </w:r>
          </w:p>
        </w:tc>
        <w:tc>
          <w:tcPr>
            <w:tcW w:w="1663" w:type="dxa"/>
            <w:vAlign w:val="center"/>
          </w:tcPr>
          <w:p w14:paraId="37707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合同总金额*100%</w:t>
            </w:r>
          </w:p>
        </w:tc>
        <w:tc>
          <w:tcPr>
            <w:tcW w:w="2654" w:type="dxa"/>
            <w:vAlign w:val="center"/>
          </w:tcPr>
          <w:p w14:paraId="0CBF9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9C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4" w:type="dxa"/>
            <w:vAlign w:val="center"/>
          </w:tcPr>
          <w:p w14:paraId="3B010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至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分（含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分）</w:t>
            </w:r>
          </w:p>
        </w:tc>
        <w:tc>
          <w:tcPr>
            <w:tcW w:w="1891" w:type="dxa"/>
            <w:vAlign w:val="center"/>
          </w:tcPr>
          <w:p w14:paraId="04CD8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扣除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  <w:tc>
          <w:tcPr>
            <w:tcW w:w="1663" w:type="dxa"/>
            <w:vAlign w:val="center"/>
          </w:tcPr>
          <w:p w14:paraId="0A2A8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合同总金额*90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  <w:tc>
          <w:tcPr>
            <w:tcW w:w="2654" w:type="dxa"/>
            <w:vAlign w:val="center"/>
          </w:tcPr>
          <w:p w14:paraId="74AF7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5C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4" w:type="dxa"/>
            <w:vAlign w:val="center"/>
          </w:tcPr>
          <w:p w14:paraId="0D2FD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至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分（含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分）</w:t>
            </w:r>
          </w:p>
        </w:tc>
        <w:tc>
          <w:tcPr>
            <w:tcW w:w="1891" w:type="dxa"/>
            <w:vAlign w:val="center"/>
          </w:tcPr>
          <w:p w14:paraId="7C095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扣除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  <w:tc>
          <w:tcPr>
            <w:tcW w:w="1663" w:type="dxa"/>
            <w:vAlign w:val="center"/>
          </w:tcPr>
          <w:p w14:paraId="30B0E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合同总金额*50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  <w:tc>
          <w:tcPr>
            <w:tcW w:w="2654" w:type="dxa"/>
            <w:vAlign w:val="center"/>
          </w:tcPr>
          <w:p w14:paraId="600F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长期无驻场人员，且多次跟维保服务厂商沟通无果，则扣除50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 w14:paraId="79326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4" w:type="dxa"/>
            <w:vAlign w:val="center"/>
          </w:tcPr>
          <w:p w14:paraId="6E9C8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小于40</w:t>
            </w:r>
          </w:p>
        </w:tc>
        <w:tc>
          <w:tcPr>
            <w:tcW w:w="1891" w:type="dxa"/>
            <w:vAlign w:val="center"/>
          </w:tcPr>
          <w:p w14:paraId="5BE91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扣除100%</w:t>
            </w:r>
          </w:p>
        </w:tc>
        <w:tc>
          <w:tcPr>
            <w:tcW w:w="1663" w:type="dxa"/>
            <w:vAlign w:val="center"/>
          </w:tcPr>
          <w:p w14:paraId="4B2E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不予支付维保费用</w:t>
            </w:r>
          </w:p>
        </w:tc>
        <w:tc>
          <w:tcPr>
            <w:tcW w:w="2654" w:type="dxa"/>
            <w:vAlign w:val="center"/>
          </w:tcPr>
          <w:p w14:paraId="42C86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496BC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维保验收</w:t>
      </w:r>
    </w:p>
    <w:p w14:paraId="4CD9F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由甲方负责组织验收或者邀请有关专家共同进行验收,验收费用由成交供应商支付;验收合格须交接项目实施的全部资料。验收须以合同、磋商文件、响应文件、澄清、及国家相应的标准、规范等为依据。</w:t>
      </w:r>
    </w:p>
    <w:p w14:paraId="698B9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维保服务考核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6335"/>
      </w:tblGrid>
      <w:tr w14:paraId="24255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pct"/>
            <w:vAlign w:val="center"/>
          </w:tcPr>
          <w:p w14:paraId="69E68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考核项目</w:t>
            </w:r>
          </w:p>
        </w:tc>
        <w:tc>
          <w:tcPr>
            <w:tcW w:w="3716" w:type="pct"/>
            <w:vAlign w:val="center"/>
          </w:tcPr>
          <w:p w14:paraId="2FB58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扣分标准</w:t>
            </w:r>
          </w:p>
        </w:tc>
      </w:tr>
      <w:tr w14:paraId="14F9A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83" w:type="pct"/>
            <w:vAlign w:val="center"/>
          </w:tcPr>
          <w:p w14:paraId="6CC88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管理及故障处理</w:t>
            </w:r>
          </w:p>
        </w:tc>
        <w:tc>
          <w:tcPr>
            <w:tcW w:w="3716" w:type="pct"/>
          </w:tcPr>
          <w:p w14:paraId="77DB7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.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需要对维保人员进行排班，包括双休及节假日，由项目经理每周一将值班表发送至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医院对应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项目负责人，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若没有履行，每出现一次扣1分。</w:t>
            </w:r>
          </w:p>
          <w:p w14:paraId="2F90A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．项目经理需要每周周五下班前提交本周工作报告，未按照时间提交，每出现一次扣1分。</w:t>
            </w:r>
          </w:p>
          <w:p w14:paraId="72843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软件需求（包括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功能需求、接口需求、报表和数据上报需求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）由医院对应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项目负责人及需求提出科室签字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确认后，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项目经理需在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五个工作日内列出开发计划（特殊情况可适当延后），未在规定时间列出的，每超过一天扣1分。</w:t>
            </w:r>
          </w:p>
          <w:p w14:paraId="64924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软件需求开发必须严格按照由医院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对应项目负责人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和维保服务厂商共同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确定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的计划完成，如实际完成时间比计划时间晚了一周，每出现一次扣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分，特殊情况除外，但须出具双方确认签字的说明。</w:t>
            </w:r>
          </w:p>
          <w:p w14:paraId="41636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软件需求须在测试完成后，经软件开发工程师、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需求提出科室负责人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、医院对应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项目负责人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三方签字确认后，程序方可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更新、升级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，未经确认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进行更新、升级，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每出现一次扣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分。</w:t>
            </w:r>
          </w:p>
          <w:p w14:paraId="3F52F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业务故障恢复时限、解决时限或阶段性回复时限超过1日每出现一次扣0.5分。</w:t>
            </w:r>
          </w:p>
          <w:p w14:paraId="25AD4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日常电话处理HIS问题响应时间和答复时间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自接到问题反馈之日起，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超过1日每出现一次，扣0.5分。</w:t>
            </w:r>
          </w:p>
          <w:p w14:paraId="00F4C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日常数据相关修改工作响应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答复时间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自接到问题反馈之日起，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超过1日每出现一次，扣0.5分。</w:t>
            </w:r>
          </w:p>
        </w:tc>
      </w:tr>
      <w:tr w14:paraId="2EE4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283" w:type="pct"/>
            <w:vAlign w:val="center"/>
          </w:tcPr>
          <w:p w14:paraId="02ECD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质量</w:t>
            </w:r>
          </w:p>
        </w:tc>
        <w:tc>
          <w:tcPr>
            <w:tcW w:w="3716" w:type="pct"/>
          </w:tcPr>
          <w:p w14:paraId="32FF9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1.由于软件程序原因导致医院或科室经济损失，每出现一次扣2分，且维保服务厂商必须按照医院或科室实际损失金额进行赔偿。</w:t>
            </w:r>
          </w:p>
          <w:p w14:paraId="7B203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同一故障在1个月内反复出现，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累计出现一次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分。</w:t>
            </w:r>
          </w:p>
          <w:p w14:paraId="7B2FF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授权前提下，软件程序或补丁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更新、升级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导致故障或业务影响恶劣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每出现一次扣1分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特殊情况除外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特殊情况必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须出具双方确认签字的说明。</w:t>
            </w:r>
          </w:p>
        </w:tc>
      </w:tr>
    </w:tbl>
    <w:p w14:paraId="0E3AE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38C4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</w:p>
    <w:p w14:paraId="23925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本合同一式肆份，具有同等法律效力，双方各执贰份，双方签字盖章后生效。</w:t>
      </w:r>
    </w:p>
    <w:p w14:paraId="40E139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02B9307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680F1E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028DE7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F146A2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8CFE25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left="6613" w:leftChars="-28" w:hanging="6672" w:hangingChars="278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甲方：（签章）                 乙方：（签章） </w:t>
      </w:r>
    </w:p>
    <w:p w14:paraId="66764B0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代表：（签章）                 代表：（签章）</w:t>
      </w:r>
    </w:p>
    <w:p w14:paraId="192159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left="6720" w:hanging="5760" w:hangingChars="24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地址：                         地址： </w:t>
      </w:r>
    </w:p>
    <w:p w14:paraId="4B43761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电话：                         电话：</w:t>
      </w:r>
    </w:p>
    <w:p w14:paraId="10C0EA9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开户银行：                     开户银行：</w:t>
      </w:r>
    </w:p>
    <w:p w14:paraId="470D5A4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帐  号：                       帐  号： </w:t>
      </w:r>
    </w:p>
    <w:p w14:paraId="3BD05F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 于：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             签 于：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日 </w:t>
      </w:r>
    </w:p>
    <w:p w14:paraId="2F5DFA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</w:p>
    <w:p w14:paraId="0F2E9BB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D6A71"/>
    <w:multiLevelType w:val="singleLevel"/>
    <w:tmpl w:val="A6FD6A7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EBD330"/>
    <w:multiLevelType w:val="singleLevel"/>
    <w:tmpl w:val="14EBD33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cwOTFkMzE3NTc2YTE0YzU5ODU1ZjdhNDYzMzM3YmMifQ=="/>
  </w:docVars>
  <w:rsids>
    <w:rsidRoot w:val="00000000"/>
    <w:rsid w:val="130F5394"/>
    <w:rsid w:val="24CA3ACE"/>
    <w:rsid w:val="509A7F8A"/>
    <w:rsid w:val="54D730B2"/>
    <w:rsid w:val="5C421B09"/>
    <w:rsid w:val="700110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rPr>
      <w:rFonts w:ascii="Arial" w:hAnsi="Arial"/>
      <w:szCs w:val="20"/>
    </w:r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1130</Words>
  <Characters>1133</Characters>
  <Lines>0</Lines>
  <Paragraphs>0</Paragraphs>
  <TotalTime>2</TotalTime>
  <ScaleCrop>false</ScaleCrop>
  <LinksUpToDate>false</LinksUpToDate>
  <CharactersWithSpaces>1303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2022-07-15T02:26:00Z</dcterms:created>
  <dc:creator>Administrator</dc:creator>
  <cp:lastModifiedBy>胡梦阳</cp:lastModifiedBy>
  <dcterms:modified xsi:type="dcterms:W3CDTF">2025-06-24T10:49:09Z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AD24D3069972418ABC224CEB481842FD_13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