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版本号：RTZB-2025-203220250624001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附属小学北操场改造工程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RTZB-2025-2032</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附属小学北操场改造工程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附属小学北操场改造工程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是对西北大学附属小学北操场进行改造，内容包括拆除操场塑胶及地下锈蚀排水管网，修复地面基层，敷设地下排水管沟及电缆沟；新建U12篮球场一个，U8篮球场两个新建北侧围墙栏杆等，详见采购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采购包1（附属小学北操场改造工程）：属于专门面向中小企业采购。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主体：提供营业执照/事业单位法人登记证/非企业单位登记证/执业许可证，未提供的接受采购人通过国家企业信用信息公示系统（http://www.gsxt.gov.cn/index.html）进行相关信息的核实，并承担核实不到的后果；自然人提供身份证 。</w:t>
      </w:r>
    </w:p>
    <w:p>
      <w:pPr>
        <w:pStyle w:val="null3"/>
      </w:pPr>
      <w:r>
        <w:rPr>
          <w:rFonts w:ascii="仿宋_GB2312" w:hAnsi="仿宋_GB2312" w:cs="仿宋_GB2312" w:eastAsia="仿宋_GB2312"/>
        </w:rPr>
        <w:t>2、信用证明：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p>
      <w:pPr>
        <w:pStyle w:val="null3"/>
      </w:pPr>
      <w:r>
        <w:rPr>
          <w:rFonts w:ascii="仿宋_GB2312" w:hAnsi="仿宋_GB2312" w:cs="仿宋_GB2312" w:eastAsia="仿宋_GB2312"/>
        </w:rPr>
        <w:t>3、财务状况：提供2023或2024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p>
      <w:pPr>
        <w:pStyle w:val="null3"/>
      </w:pPr>
      <w:r>
        <w:rPr>
          <w:rFonts w:ascii="仿宋_GB2312" w:hAnsi="仿宋_GB2312" w:cs="仿宋_GB2312" w:eastAsia="仿宋_GB2312"/>
        </w:rPr>
        <w:t>4、纳税凭证：提供2025年1月1日至今至少一个月依法纳税的相关凭证(税种至少为增值税或企业所得税中的一种)；依法免税或无须缴纳税收的应提供相关证明；成立不足一个月的提供将依法纳税的承诺书(格式自拟)。注:①零报税的提供申报成功的凭证。②时间以税款所属时段为准。</w:t>
      </w:r>
    </w:p>
    <w:p>
      <w:pPr>
        <w:pStyle w:val="null3"/>
      </w:pPr>
      <w:r>
        <w:rPr>
          <w:rFonts w:ascii="仿宋_GB2312" w:hAnsi="仿宋_GB2312" w:cs="仿宋_GB2312" w:eastAsia="仿宋_GB2312"/>
        </w:rPr>
        <w:t>5、社保缴纳凭证：提供2025年1月1日至今至少一个月的社会保障资金缴存凭证或社保机构开具的社会保险参保缴费情况凭证；依法不需要缴纳社会保障资金的提供相关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p>
      <w:pPr>
        <w:pStyle w:val="null3"/>
      </w:pPr>
      <w:r>
        <w:rPr>
          <w:rFonts w:ascii="仿宋_GB2312" w:hAnsi="仿宋_GB2312" w:cs="仿宋_GB2312" w:eastAsia="仿宋_GB2312"/>
        </w:rPr>
        <w:t>6、履约能力：提供具有履行本合同所必需的专业技术能力的书面声明。</w:t>
      </w:r>
    </w:p>
    <w:p>
      <w:pPr>
        <w:pStyle w:val="null3"/>
      </w:pPr>
      <w:r>
        <w:rPr>
          <w:rFonts w:ascii="仿宋_GB2312" w:hAnsi="仿宋_GB2312" w:cs="仿宋_GB2312" w:eastAsia="仿宋_GB2312"/>
        </w:rPr>
        <w:t>7、代表人授权：参加磋商的供应商代表需提供提法定代表人证明书和法定代表人授权书。</w:t>
      </w:r>
    </w:p>
    <w:p>
      <w:pPr>
        <w:pStyle w:val="null3"/>
      </w:pPr>
      <w:r>
        <w:rPr>
          <w:rFonts w:ascii="仿宋_GB2312" w:hAnsi="仿宋_GB2312" w:cs="仿宋_GB2312" w:eastAsia="仿宋_GB2312"/>
        </w:rPr>
        <w:t>8、企业资质：具备建筑工程施工总承包三级及以上资质、有效的安全生产许可证。提供资质证书及安全生产许可证。</w:t>
      </w:r>
    </w:p>
    <w:p>
      <w:pPr>
        <w:pStyle w:val="null3"/>
      </w:pPr>
      <w:r>
        <w:rPr>
          <w:rFonts w:ascii="仿宋_GB2312" w:hAnsi="仿宋_GB2312" w:cs="仿宋_GB2312" w:eastAsia="仿宋_GB2312"/>
        </w:rPr>
        <w:t>9、项目经理：拟派项目经理须为供应商单位注册的建筑工程专业贰级及以上注册建造师，具有安全生产考核合格证（B证）且无在建工程。提供证书及无在建工程书面声明。</w:t>
      </w:r>
    </w:p>
    <w:p>
      <w:pPr>
        <w:pStyle w:val="null3"/>
      </w:pPr>
      <w:r>
        <w:rPr>
          <w:rFonts w:ascii="仿宋_GB2312" w:hAnsi="仿宋_GB2312" w:cs="仿宋_GB2312" w:eastAsia="仿宋_GB2312"/>
        </w:rPr>
        <w:t>10、联合体形式：本项目不接受联合体，提供非联合体声明。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710127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水思楠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采购包1：1,711,369.68元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采购包1保证金金额：34,000.00元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说明：1.本采购包履约保证金为合同金额的5.0% 说明：供应商凭成交通知书向采购人缴纳成交金额的5%作为履约保证金。 2.缴纳信息： 户名：西北大学 开户银行：交通银行太白路支行 账号： 611301015018001145006 3.履约保证金汇款后，可持银行回执到西北大学采购与招标办公室换取收据。待合同执行完毕、项目验收合格后凭验收单和缴款收据，履约保证金予以无息退还。如遇下列情况之一者，履约保证金不予退还，作为对采购人的赔偿： （1）合同签订后不能按合同时限要求完工的； （2）项目与合同不符或验收不合格的； （3）不能按合同履约的。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以成交价为基础计算下浮20%计取，供应商在下载成交通知书时一次性缴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踏勘时间：2025-07-02 09:00:00</w:t>
            </w:r>
          </w:p>
          <w:p>
            <w:pPr>
              <w:pStyle w:val="null3"/>
              <w:ind w:firstLine="975"/>
            </w:pPr>
            <w:r>
              <w:rPr>
                <w:rFonts w:ascii="仿宋_GB2312" w:hAnsi="仿宋_GB2312" w:cs="仿宋_GB2312" w:eastAsia="仿宋_GB2312"/>
              </w:rPr>
              <w:t>踏勘地点：太白北路324号西大新村内西北大学附属小学</w:t>
            </w:r>
          </w:p>
          <w:p>
            <w:pPr>
              <w:pStyle w:val="null3"/>
              <w:ind w:firstLine="975"/>
            </w:pPr>
            <w:r>
              <w:rPr>
                <w:rFonts w:ascii="仿宋_GB2312" w:hAnsi="仿宋_GB2312" w:cs="仿宋_GB2312" w:eastAsia="仿宋_GB2312"/>
              </w:rPr>
              <w:t>联系人：贾工</w:t>
            </w:r>
          </w:p>
          <w:p>
            <w:pPr>
              <w:pStyle w:val="null3"/>
              <w:ind w:firstLine="975"/>
            </w:pPr>
            <w:r>
              <w:rPr>
                <w:rFonts w:ascii="仿宋_GB2312" w:hAnsi="仿宋_GB2312" w:cs="仿宋_GB2312" w:eastAsia="仿宋_GB2312"/>
              </w:rPr>
              <w:t>联系电话号码：13572421621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联系人：喻工 贾工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1,711,369.68</w:t>
      </w:r>
    </w:p>
    <w:p>
      <w:pPr>
        <w:pStyle w:val="null3"/>
      </w:pPr>
      <w:r>
        <w:rPr>
          <w:rFonts w:ascii="仿宋_GB2312" w:hAnsi="仿宋_GB2312" w:cs="仿宋_GB2312" w:eastAsia="仿宋_GB2312"/>
        </w:rPr>
        <w:t>采购包最高限价（元）: 1,711,369.68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附属小学北操场改造工程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1,711,369.68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标的名称：附属小学北操场改造工程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FF"/>
              </w:rPr>
              <w:t>项目内容：对西北大学附属小学</w:t>
            </w:r>
            <w:r>
              <w:rPr>
                <w:rFonts w:ascii="仿宋_GB2312" w:hAnsi="仿宋_GB2312" w:cs="仿宋_GB2312" w:eastAsia="仿宋_GB2312"/>
                <w:sz w:val="24"/>
                <w:color w:val="0000FF"/>
              </w:rPr>
              <w:t>北</w:t>
            </w:r>
            <w:r>
              <w:rPr>
                <w:rFonts w:ascii="仿宋_GB2312" w:hAnsi="仿宋_GB2312" w:cs="仿宋_GB2312" w:eastAsia="仿宋_GB2312"/>
                <w:sz w:val="24"/>
                <w:color w:val="0000FF"/>
              </w:rPr>
              <w:t>操场进行改造，内容</w:t>
            </w:r>
            <w:r>
              <w:rPr>
                <w:rFonts w:ascii="仿宋_GB2312" w:hAnsi="仿宋_GB2312" w:cs="仿宋_GB2312" w:eastAsia="仿宋_GB2312"/>
                <w:sz w:val="24"/>
                <w:color w:val="0000FF"/>
              </w:rPr>
              <w:t>包括拆除操场塑胶及地下锈蚀排水管网，修复地面基层，敷设地下排水管沟及电缆沟；新建</w:t>
            </w:r>
            <w:r>
              <w:rPr>
                <w:rFonts w:ascii="仿宋_GB2312" w:hAnsi="仿宋_GB2312" w:cs="仿宋_GB2312" w:eastAsia="仿宋_GB2312"/>
                <w:sz w:val="24"/>
                <w:color w:val="0000FF"/>
              </w:rPr>
              <w:t>U12篮球场一个，U8篮球场两个新建北侧围墙栏杆等</w:t>
            </w:r>
            <w:r>
              <w:rPr>
                <w:rFonts w:ascii="仿宋_GB2312" w:hAnsi="仿宋_GB2312" w:cs="仿宋_GB2312" w:eastAsia="仿宋_GB2312"/>
                <w:sz w:val="24"/>
                <w:color w:val="0000FF"/>
              </w:rPr>
              <w:t>。完成图纸、工程量清单的全部内容。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FF"/>
              </w:rPr>
              <w:t>一、质量要求</w:t>
            </w:r>
          </w:p>
          <w:p>
            <w:pPr>
              <w:pStyle w:val="null3"/>
              <w:jc w:val="both"/>
            </w:pPr>
            <w:r>
              <w:rPr>
                <w:rFonts w:ascii="仿宋_GB2312" w:hAnsi="仿宋_GB2312" w:cs="仿宋_GB2312" w:eastAsia="仿宋_GB2312"/>
                <w:sz w:val="24"/>
                <w:color w:val="0000FF"/>
              </w:rPr>
              <w:t>操场园建及铺装材料、工程质量、安装质量须符合国家及行业现行相关标准，质量保修期不少于</w:t>
            </w:r>
            <w:r>
              <w:rPr>
                <w:rFonts w:ascii="仿宋_GB2312" w:hAnsi="仿宋_GB2312" w:cs="仿宋_GB2312" w:eastAsia="仿宋_GB2312"/>
                <w:sz w:val="24"/>
                <w:color w:val="0000FF"/>
              </w:rPr>
              <w:t>24个月。</w:t>
            </w:r>
          </w:p>
          <w:p>
            <w:pPr>
              <w:pStyle w:val="null3"/>
              <w:jc w:val="both"/>
            </w:pPr>
            <w:r>
              <w:rPr>
                <w:rFonts w:ascii="仿宋_GB2312" w:hAnsi="仿宋_GB2312" w:cs="仿宋_GB2312" w:eastAsia="仿宋_GB2312"/>
                <w:sz w:val="24"/>
                <w:color w:val="0000FF"/>
              </w:rPr>
              <w:t>二、安全要求</w:t>
            </w:r>
          </w:p>
          <w:p>
            <w:pPr>
              <w:pStyle w:val="null3"/>
              <w:jc w:val="both"/>
            </w:pPr>
            <w:r>
              <w:rPr>
                <w:rFonts w:ascii="仿宋_GB2312" w:hAnsi="仿宋_GB2312" w:cs="仿宋_GB2312" w:eastAsia="仿宋_GB2312"/>
                <w:sz w:val="24"/>
                <w:color w:val="0000FF"/>
              </w:rPr>
              <w:t>杜绝一切安全事故，切实做到安全第一、预防为主。本工程实现无任何安全事故。</w:t>
            </w:r>
          </w:p>
          <w:p>
            <w:pPr>
              <w:pStyle w:val="null3"/>
              <w:jc w:val="both"/>
            </w:pPr>
            <w:r>
              <w:rPr>
                <w:rFonts w:ascii="仿宋_GB2312" w:hAnsi="仿宋_GB2312" w:cs="仿宋_GB2312" w:eastAsia="仿宋_GB2312"/>
                <w:sz w:val="24"/>
                <w:color w:val="0000FF"/>
              </w:rPr>
              <w:t>三、文明要求</w:t>
            </w:r>
          </w:p>
          <w:p>
            <w:pPr>
              <w:pStyle w:val="null3"/>
              <w:jc w:val="both"/>
            </w:pPr>
            <w:r>
              <w:rPr>
                <w:rFonts w:ascii="仿宋_GB2312" w:hAnsi="仿宋_GB2312" w:cs="仿宋_GB2312" w:eastAsia="仿宋_GB2312"/>
                <w:sz w:val="24"/>
                <w:color w:val="0000FF"/>
              </w:rPr>
              <w:t>现场用电，不私拉乱接；工地定制摆放，材料进场按要求归类整齐摆放，施工现场每天做到工完场清；中午</w:t>
            </w:r>
            <w:r>
              <w:rPr>
                <w:rFonts w:ascii="仿宋_GB2312" w:hAnsi="仿宋_GB2312" w:cs="仿宋_GB2312" w:eastAsia="仿宋_GB2312"/>
                <w:sz w:val="24"/>
                <w:color w:val="0000FF"/>
              </w:rPr>
              <w:t>12点到2点之间不允许施工。非必须晚间不能加班，如确有必须加班的事项，加班时间不能超过21点。</w:t>
            </w:r>
          </w:p>
          <w:p>
            <w:pPr>
              <w:pStyle w:val="null3"/>
              <w:jc w:val="both"/>
            </w:pPr>
            <w:r>
              <w:rPr>
                <w:rFonts w:ascii="仿宋_GB2312" w:hAnsi="仿宋_GB2312" w:cs="仿宋_GB2312" w:eastAsia="仿宋_GB2312"/>
                <w:sz w:val="24"/>
                <w:color w:val="0000FF"/>
              </w:rPr>
              <w:t>四、进度安排</w:t>
            </w:r>
          </w:p>
          <w:p>
            <w:pPr>
              <w:pStyle w:val="null3"/>
              <w:jc w:val="both"/>
            </w:pPr>
            <w:r>
              <w:rPr>
                <w:rFonts w:ascii="仿宋_GB2312" w:hAnsi="仿宋_GB2312" w:cs="仿宋_GB2312" w:eastAsia="仿宋_GB2312"/>
                <w:sz w:val="24"/>
                <w:color w:val="0000FF"/>
              </w:rPr>
              <w:t>暑假期间施工，本工程计划总工期</w:t>
            </w:r>
            <w:r>
              <w:rPr>
                <w:rFonts w:ascii="仿宋_GB2312" w:hAnsi="仿宋_GB2312" w:cs="仿宋_GB2312" w:eastAsia="仿宋_GB2312"/>
                <w:sz w:val="24"/>
                <w:color w:val="0000FF"/>
              </w:rPr>
              <w:t>45日历天</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color w:val="0000FF"/>
              </w:rPr>
              <w:t>中标</w:t>
            </w:r>
            <w:r>
              <w:rPr>
                <w:rFonts w:ascii="仿宋_GB2312" w:hAnsi="仿宋_GB2312" w:cs="仿宋_GB2312" w:eastAsia="仿宋_GB2312"/>
                <w:sz w:val="24"/>
                <w:color w:val="0000FF"/>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color w:val="0000FF"/>
              </w:rPr>
              <w:t>其他技术要求见施工图。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1.执行国家现行施工验收规范及其他相关标准和采购文件的要求。 2.供应商提供的货品、材料、服务满足校方要求，室外场地合成材料施工方须提供质检报告及样品并遵照招标文件、投标文件及国家有关标准执行。 3.满足校方教育教学要求并符合国家对中小学操场建设标准和规范要求。4.硅PU塑胶面层材料及成品符合《中小学合成材料面层篮球场地》GB/T 43565-2023 、《中小学合成材料面层运动场地》（GB36246-2018）国家标准。关于两个标准对于面层物理机械性能与面层成品中有害物质限量及气味要求的不同之处按新标准执行。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1.工期：45日历天 2.付款方式：待工程竣工验收合格后付至合同金额的80%；经学校审计后付至审定金额的100%；但前期支付金额超过审定金额的成交人应当退还。 3.质量标准：国家现行施工验收规范合格标准、满足校方教育教学要求并符合国家对中小学操场建设标准和规范要求。 4.质保期：验收合格后2年。</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须通过电子化交易平台上传响应文件，另外还需在磋商截止时间前向代理机构递交密封完好的电子化交易系统生成的纸质版响应文件贰份（胶装，密封袋外层标注供应商名称和项目名称）。代理机构对递交的文件签收，由监标人查验密封情况并记录，开标后交磋商小组，作为评审的辅助资料。 递交方式：现场递交，或顺丰邮寄 2.供应商请仔细阅读招标文件《第一章 竞争性磋商邀请》第六条“电子化采购相关事项”，提前做好线上开标准备。 3.本项目磋商环节在电子化交易系统线上进行，供应商需自行了解系统磋商的要求和操作流程。未按流程操作或无法联系以及供应商自身原因错过磋商的视为自动放弃磋商，其磋商无效。 4.本项目采用两次报价，响应文件中的报价为首次报价，磋商后的报价为最终报价，评审按最终报价评审。 5.①中小企业判定： 是否属于中小企业，供应商按《统计上大中小微型企业划分办法（2017）》（国统字﹝2017﹞213号）建筑业划型标准判定，并承担责任。如判定原则与第四章及附件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工程的施工单位为符合政策要求的中小企业。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法人主体</w:t>
            </w:r>
          </w:p>
        </w:tc>
        <w:tc>
          <w:tcPr>
            <w:tcW w:type="dxa" w:w="3322"/>
          </w:tcPr>
          <w:p>
            <w:pPr>
              <w:pStyle w:val="null3"/>
            </w:pPr>
            <w:r>
              <w:rPr>
                <w:rFonts w:ascii="仿宋_GB2312" w:hAnsi="仿宋_GB2312" w:cs="仿宋_GB2312" w:eastAsia="仿宋_GB2312"/>
              </w:rPr>
              <w:t>提供营业执照/事业单位法人登记证/非企业单位登记证/执业许可证，未提供的接受采购人通过国家企业信用信息公示系统（http://www.gsxt.gov.cn/index.html）进行相关信息的核实，并承担核实不到的后果；自然人提供身份证 。</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未被各级建设诚信信息平台被列为投标受限制的行为人，参加本次政府采购活动前3年内在经营活动中没有重大违纪，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经第三方会计事务所审计过的财务报告，或磋商截止时间前90天内基本账户银行出具的资信证明。注：①提供财务报告的，内容至少包括审计报告、附注。②提供资信证明的，必须提供资信证明全部页以及基本户信息（提供开户许可证复印件或提供基本银行账户信息复印件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纳税凭证</w:t>
            </w:r>
          </w:p>
        </w:tc>
        <w:tc>
          <w:tcPr>
            <w:tcW w:type="dxa" w:w="3322"/>
          </w:tcPr>
          <w:p>
            <w:pPr>
              <w:pStyle w:val="null3"/>
            </w:pPr>
            <w:r>
              <w:rPr>
                <w:rFonts w:ascii="仿宋_GB2312" w:hAnsi="仿宋_GB2312" w:cs="仿宋_GB2312" w:eastAsia="仿宋_GB2312"/>
              </w:rPr>
              <w:t>提供2025年1月1日至今至少一个月依法纳税的相关凭证(税种至少为增值税或企业所得税中的一种)；依法免税或无须缴纳税收的应提供相关证明；成立不足一个月的提供将依法纳税的承诺书(格式自拟)。注:①零报税的提供申报成功的凭证。②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社保缴纳凭证</w:t>
            </w:r>
          </w:p>
        </w:tc>
        <w:tc>
          <w:tcPr>
            <w:tcW w:type="dxa" w:w="3322"/>
          </w:tcPr>
          <w:p>
            <w:pPr>
              <w:pStyle w:val="null3"/>
            </w:pPr>
            <w:r>
              <w:rPr>
                <w:rFonts w:ascii="仿宋_GB2312" w:hAnsi="仿宋_GB2312" w:cs="仿宋_GB2312" w:eastAsia="仿宋_GB2312"/>
              </w:rPr>
              <w:t>提供2025年1月1日至今至少一个月的社会保障资金缴存凭证或社保机构开具的社会保险参保缴费情况凭证；依法不需要缴纳社会保障资金的提供相关证明；成立不足一个月的提供将依法交纳社会保障资金的承诺书（格式自拟）。注：①通过代缴方式缴存的，需提供链条完整的证明材料，证明材料至少包括代缴方的缴存凭证、投标人向代缴方用于缴存社保的银行转账单据。②供应商可自行打印带有社保机构公章的缴存凭证；提供银行交纳单据的，单据应显示社保缴存项（任一项）。</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代表人授权</w:t>
            </w:r>
          </w:p>
        </w:tc>
        <w:tc>
          <w:tcPr>
            <w:tcW w:type="dxa" w:w="3322"/>
          </w:tcPr>
          <w:p>
            <w:pPr>
              <w:pStyle w:val="null3"/>
            </w:pPr>
            <w:r>
              <w:rPr>
                <w:rFonts w:ascii="仿宋_GB2312" w:hAnsi="仿宋_GB2312" w:cs="仿宋_GB2312" w:eastAsia="仿宋_GB2312"/>
              </w:rPr>
              <w:t>参加磋商的供应商代表需提供提法定代表人证明书和法定代表人授权书。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具备建筑工程施工总承包三级及以上资质、有效的安全生产许可证。提供资质证书及安全生产许可证。</w:t>
            </w:r>
          </w:p>
        </w:tc>
        <w:tc>
          <w:tcPr>
            <w:tcW w:type="dxa" w:w="1661"/>
          </w:tcPr>
          <w:p>
            <w:pPr>
              <w:pStyle w:val="null3"/>
            </w:pPr>
            <w:r>
              <w:rPr>
                <w:rFonts w:ascii="仿宋_GB2312" w:hAnsi="仿宋_GB2312" w:cs="仿宋_GB2312" w:eastAsia="仿宋_GB2312"/>
              </w:rPr>
              <w:t>资质证书.docx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拟派项目经理须为供应商单位注册的建筑工程专业贰级及以上注册建造师，具有安全生产考核合格证（B证）且无在建工程。提供证书及无在建工程书面声明。</w:t>
            </w:r>
          </w:p>
        </w:tc>
        <w:tc>
          <w:tcPr>
            <w:tcW w:type="dxa" w:w="1661"/>
          </w:tcPr>
          <w:p>
            <w:pPr>
              <w:pStyle w:val="null3"/>
            </w:pPr>
            <w:r>
              <w:rPr>
                <w:rFonts w:ascii="仿宋_GB2312" w:hAnsi="仿宋_GB2312" w:cs="仿宋_GB2312" w:eastAsia="仿宋_GB2312"/>
              </w:rPr>
              <w:t>项目经理资格证书及无在建声明.docx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联合体形式</w:t>
            </w:r>
          </w:p>
        </w:tc>
        <w:tc>
          <w:tcPr>
            <w:tcW w:type="dxa" w:w="3322"/>
          </w:tcPr>
          <w:p>
            <w:pPr>
              <w:pStyle w:val="null3"/>
            </w:pPr>
            <w:r>
              <w:rPr>
                <w:rFonts w:ascii="仿宋_GB2312" w:hAnsi="仿宋_GB2312" w:cs="仿宋_GB2312" w:eastAsia="仿宋_GB2312"/>
              </w:rPr>
              <w:t>本项目不接受联合体，提供非联合体声明。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按格式填写供应商名称，至少以下文件中供应商名称应与营业执照、公章一致。1.响应文件封面。2.响应函。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首次报价</w:t>
            </w:r>
          </w:p>
        </w:tc>
        <w:tc>
          <w:tcPr>
            <w:tcW w:type="dxa" w:w="3322"/>
          </w:tcPr>
          <w:p>
            <w:pPr>
              <w:pStyle w:val="null3"/>
            </w:pPr>
            <w:r>
              <w:rPr>
                <w:rFonts w:ascii="仿宋_GB2312" w:hAnsi="仿宋_GB2312" w:cs="仿宋_GB2312" w:eastAsia="仿宋_GB2312"/>
              </w:rPr>
              <w:t>未超过最高限价且无选择性报价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45日历天</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验收合格后2年</w:t>
            </w:r>
          </w:p>
        </w:tc>
        <w:tc>
          <w:tcPr>
            <w:tcW w:type="dxa" w:w="1661"/>
          </w:tcPr>
          <w:p>
            <w:pPr>
              <w:pStyle w:val="null3"/>
            </w:pPr>
            <w:r>
              <w:rPr>
                <w:rFonts w:ascii="仿宋_GB2312" w:hAnsi="仿宋_GB2312" w:cs="仿宋_GB2312" w:eastAsia="仿宋_GB2312"/>
              </w:rPr>
              <w:t>质保期.docx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达到国家现行施工验收规范合格标准、满足校方教育教学要求并符合国家对中小学操场建设标准和规范要求。</w:t>
            </w:r>
          </w:p>
        </w:tc>
        <w:tc>
          <w:tcPr>
            <w:tcW w:type="dxa" w:w="1661"/>
          </w:tcPr>
          <w:p>
            <w:pPr>
              <w:pStyle w:val="null3"/>
            </w:pPr>
            <w:r>
              <w:rPr>
                <w:rFonts w:ascii="仿宋_GB2312" w:hAnsi="仿宋_GB2312" w:cs="仿宋_GB2312" w:eastAsia="仿宋_GB2312"/>
              </w:rPr>
              <w:t>质量标准.docx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1.合同价款 ①本项目采用固定综合单价合同。 ②综合单价修正系数： 修正系数=磋商最终报价/首次报价。 2.变更、签证价款 ①审核后的工程量清单报价中已有工程综合单价的，按已有综合单价结算； ②审核后的工程量清单报价中只有类似工程项目的，双方可以参照同标准类似综合单价协商认可的综合单价结算； ③审核后的工程量清单报价中没有的工程项目内容，经监理工程师、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 3.付款方式：待工程竣工验收合格后付至合同金额的80%；经学校审计后付至审定金额的100%；但前期支付金额超过审定金额的成交人应当退还。</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已标价工程量清单的扉页（仅指投标总价扉页）需加盖有注册或登记在工程造价咨询企业的造价人员签字并盖执业印章</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1.施工组织方案：施工组织方案详细、各部分措施具体，可行性强，根据响应程度计[1.5-0）分，差或未提供不得分。 2.工程质量保证措施：保证工程质量的技术措施详细、完整、可行性强，根据响应程度计[1.5-0）分，差或未提供不得分。 3.安全生产组织措施：安全生产的技术组织措施详细、明确、可行性强；根据响应程度计[1.5-0）分，差或未提供不得分。 4.文明施工措施：文明施工措施及环境保护措施完整、详细、可行性强，根据响应程度计[1.5-0）分，差或未提供不得分。 5.拟派施工项目部：施工项目部组织架构清晰，分工明确，责任清晰，专业作业队配置齐全、详细，根据响应程度计[1-0）分；差或未提供不得分。 6.施工机械设备配备计划：主要机械设备配备齐全、合理，根据响应程度计[1-0）分；差或未提供不得分。 7.劳动力安排计划：劳动力安排详细、合理，根据响应程度计[1-0）分；差或未提供不得分。 8.工程进度计划及措施：工期满足采购要求，提供工程进度表或施工网络图以及详细的措施，工期控制连贯、清晰、合理、规范，根据响应程度计[1-0）分；差或未提供不得分。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硅PU塑胶面层施工工艺</w:t>
            </w:r>
          </w:p>
        </w:tc>
        <w:tc>
          <w:tcPr>
            <w:tcW w:type="dxa" w:w="2492"/>
          </w:tcPr>
          <w:p>
            <w:pPr>
              <w:pStyle w:val="null3"/>
            </w:pPr>
            <w:r>
              <w:rPr>
                <w:rFonts w:ascii="仿宋_GB2312" w:hAnsi="仿宋_GB2312" w:cs="仿宋_GB2312" w:eastAsia="仿宋_GB2312"/>
              </w:rPr>
              <w:t>1.对硅PU塑胶面层施工的重点难点梳理清晰、全面，并有针对性的解决办法，根据响应程度计[3-0）分，未提供不得分。 2.施工工艺详细，施工链条完整，施工机械设备具体，施工标准明确，原料用料清晰，根据响应程度计[3-0）分；差或未提供不得分。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硅PU塑胶面层施工工艺.docx</w:t>
            </w:r>
          </w:p>
        </w:tc>
      </w:tr>
      <w:tr>
        <w:tc>
          <w:tcPr>
            <w:tcW w:type="dxa" w:w="831"/>
            <w:vMerge/>
          </w:tcPr>
          <w:p/>
        </w:tc>
        <w:tc>
          <w:tcPr>
            <w:tcW w:type="dxa" w:w="1661"/>
          </w:tcPr>
          <w:p>
            <w:pPr>
              <w:pStyle w:val="null3"/>
            </w:pPr>
            <w:r>
              <w:rPr>
                <w:rFonts w:ascii="仿宋_GB2312" w:hAnsi="仿宋_GB2312" w:cs="仿宋_GB2312" w:eastAsia="仿宋_GB2312"/>
              </w:rPr>
              <w:t>主要材料选型（1）</w:t>
            </w:r>
          </w:p>
        </w:tc>
        <w:tc>
          <w:tcPr>
            <w:tcW w:type="dxa" w:w="2492"/>
          </w:tcPr>
          <w:p>
            <w:pPr>
              <w:pStyle w:val="null3"/>
            </w:pPr>
            <w:r>
              <w:rPr>
                <w:rFonts w:ascii="仿宋_GB2312" w:hAnsi="仿宋_GB2312" w:cs="仿宋_GB2312" w:eastAsia="仿宋_GB2312"/>
              </w:rPr>
              <w:t>供应商需提供主要材料清单（包括但不限于给排水管材、阀门，电力线缆、开关插座、灯具，门窗，吊顶、涂料等）。 1.提供主材品目和选型说明，品目完整，产品技术参数符合项目特征，选型说明详细，有利于保证项目质量，根据响应程度和详细程度计［3-0）分，未提供不得分。 2.提供所选材料为主流产品且属于市场中高档品牌产品的书面承诺得2分。 3.提供节能、环境标志产品的每一个得0.5分，最高2。</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主要材料选型1.docx</w:t>
            </w:r>
          </w:p>
        </w:tc>
      </w:tr>
      <w:tr>
        <w:tc>
          <w:tcPr>
            <w:tcW w:type="dxa" w:w="831"/>
            <w:vMerge/>
          </w:tcPr>
          <w:p/>
        </w:tc>
        <w:tc>
          <w:tcPr>
            <w:tcW w:type="dxa" w:w="1661"/>
          </w:tcPr>
          <w:p>
            <w:pPr>
              <w:pStyle w:val="null3"/>
            </w:pPr>
            <w:r>
              <w:rPr>
                <w:rFonts w:ascii="仿宋_GB2312" w:hAnsi="仿宋_GB2312" w:cs="仿宋_GB2312" w:eastAsia="仿宋_GB2312"/>
              </w:rPr>
              <w:t>主要材料选型（2）</w:t>
            </w:r>
          </w:p>
        </w:tc>
        <w:tc>
          <w:tcPr>
            <w:tcW w:type="dxa" w:w="2492"/>
          </w:tcPr>
          <w:p>
            <w:pPr>
              <w:pStyle w:val="null3"/>
            </w:pPr>
            <w:r>
              <w:rPr>
                <w:rFonts w:ascii="仿宋_GB2312" w:hAnsi="仿宋_GB2312" w:cs="仿宋_GB2312" w:eastAsia="仿宋_GB2312"/>
              </w:rPr>
              <w:t>硅PU塑胶面层成品机械性能： 1.拉伸强度：各供应商所投硅PU塑胶面层拉伸强度的最大值得3分，其余供应商投标产品得分按 （A/B）×3计算，保留小数点后两位，第三位“四舍五入”。注：①A各供应商投标产品的拉伸强度，B为各供应商投标产品的拉伸强度最大值。②拉伸强度（MPa）＜0.5不得分。 2.拉断伸长率：各供应商所投硅PU塑胶面层拉断伸长率的最大值得3分，其余供应商投标产品得分按 （A/B）×3计算，保留小数点后两位，第三位“四舍五入”。注：①A各供应商投标产品的拉断伸长率，B为各供应商投标产品的拉断伸长率最大值。②拉断伸长率（%）＜50不得分。 3.抗滑值：各供应商所投硅PU塑胶面层抗滑值最大的得2分，其余供应商投标产品得分按 （A/B）×2计算，保留小数点后两位，第三位“四舍五入”。注：①A各供应商投标产品的抗滑值，B为各供应商投标产品的抗滑值最大值。②抗滑值(BPN,20 ℃) ＜80或＞110（干测）不得分。 4.阻燃性能：所投硅PU塑胶面层阻燃性能/级为I级的得2分。 5.色牢度：所投硅PU塑胶面层干、湿两种条件下均无脱色的得2分。 注：1.以上参数以带有CMA标志的检测报告为准。2.检测依据：GB/T 43565-2023《中小学合成材料面层篮球场地》或《中小学合成材料面层运动场地》（GB36246-2018）。</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主要材料选型2.docx</w:t>
            </w:r>
          </w:p>
        </w:tc>
      </w:tr>
      <w:tr>
        <w:tc>
          <w:tcPr>
            <w:tcW w:type="dxa" w:w="831"/>
            <w:vMerge/>
          </w:tcPr>
          <w:p/>
        </w:tc>
        <w:tc>
          <w:tcPr>
            <w:tcW w:type="dxa" w:w="1661"/>
          </w:tcPr>
          <w:p>
            <w:pPr>
              <w:pStyle w:val="null3"/>
            </w:pPr>
            <w:r>
              <w:rPr>
                <w:rFonts w:ascii="仿宋_GB2312" w:hAnsi="仿宋_GB2312" w:cs="仿宋_GB2312" w:eastAsia="仿宋_GB2312"/>
              </w:rPr>
              <w:t>主要材料选型（3）</w:t>
            </w:r>
          </w:p>
        </w:tc>
        <w:tc>
          <w:tcPr>
            <w:tcW w:type="dxa" w:w="2492"/>
          </w:tcPr>
          <w:p>
            <w:pPr>
              <w:pStyle w:val="null3"/>
            </w:pPr>
            <w:r>
              <w:rPr>
                <w:rFonts w:ascii="仿宋_GB2312" w:hAnsi="仿宋_GB2312" w:cs="仿宋_GB2312" w:eastAsia="仿宋_GB2312"/>
              </w:rPr>
              <w:t>硅PU塑胶面层成品有害物质释放量： 1.各供应商所投硅PU塑胶面层总挥发有机化合物（TVOC）值最小的得2分，其余供应商投标产品得分按 （A/B）×2计算，保留小数点后两位，第三位“四舍五入”。注：①A为所有投标产品中TVOC最小值，B为各供应商投标产品的TVOC值。②TVOC[mg/（㎡·h）]＞5不得分。 2.各供应商所投硅PU塑胶面层甲醛值最小的得2分，其余供应商投标产品得分按 （A/B）×2计算，保留小数点后两位，第三位“四舍五入”。注：①A为所有投标产品中甲醛最小值，B为各供应商投标产品的甲醛值。②甲醛[mg/（㎡·h）]＞0.4不得分。 3.各供应商所投硅PU塑胶面层气味等级/级值最小的得2分，其余供应商投标产品得分按 （A/B）×2计算，保留小数点后两位，第三位“四舍五入”。注：①A为所有投标产品中气味等级/级值最小值，B为各供应商投标产品的气味等级/级值。②气味等级＞3级不得分。 注：1.以上参数以带有CMA标志的检测报告为准。2.检测依据：GB/T 43565-2023《中小学合成材料面层篮球场地》或《中小学合成材料面层运动场地》（GB36246-2018）。3.若TVOC或甲醛检测结果为未检出或者0，则按照检测报告中列明的检出限值计算，检测报告中无检出限值的，得0分。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主要材料选型3.docx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供应商需根据自身实力和项目特点提供针对性的维保方案。维保方案（包括但不限于维保内容、维保方式、巡检、人员配置、响应时间等）详细，措施具体，可行性强，根据完善程度、可行性计［3-0）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维保方案.docx</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1.每提供1份供应商2022年1月1日至今类似工程（室外运动场地类且需含硅PU塑胶面层施工）业绩计1分，最多4分。 注：①业绩以合同为准，时间以合同签订时间为准。②提供合同（至少包括封面、内容页、盖章页）、验收单。 2.每提供1份所投硅PU塑胶面层产品用于中小学室外操场的施工案例，得1分，最多2分。注：提供证明材料，证明材料不限于合同、验收报告、中标公告、媒体报道等，且能显示所投硅PU塑胶面层的品牌或型号。</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50分。其他供应商的价格分按照下列公式计算：磋商报价得分=(磋商基准价/磋商报价)×50。计算分数时四舍五入取小数点后两位。</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详见附件：项目经理资格证书及无在建声明.docx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详见附件：资质证书.docx</w:t>
      </w:r>
    </w:p>
    <w:p>
      <w:pPr>
        <w:pStyle w:val="null3"/>
        <w:ind w:firstLine="960"/>
      </w:pPr>
      <w:r>
        <w:rPr>
          <w:rFonts w:ascii="仿宋_GB2312" w:hAnsi="仿宋_GB2312" w:cs="仿宋_GB2312" w:eastAsia="仿宋_GB2312"/>
        </w:rPr>
        <w:t>详见附件：硅PU塑胶面层施工工艺.docx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详见附件：维保方案.docx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详见附件：质保期.docx</w:t>
      </w:r>
    </w:p>
    <w:p>
      <w:pPr>
        <w:pStyle w:val="null3"/>
        <w:ind w:firstLine="960"/>
      </w:pPr>
      <w:r>
        <w:rPr>
          <w:rFonts w:ascii="仿宋_GB2312" w:hAnsi="仿宋_GB2312" w:cs="仿宋_GB2312" w:eastAsia="仿宋_GB2312"/>
        </w:rPr>
        <w:t>详见附件：质量标准.docx</w:t>
      </w:r>
    </w:p>
    <w:p>
      <w:pPr>
        <w:pStyle w:val="null3"/>
        <w:ind w:firstLine="960"/>
      </w:pPr>
      <w:r>
        <w:rPr>
          <w:rFonts w:ascii="仿宋_GB2312" w:hAnsi="仿宋_GB2312" w:cs="仿宋_GB2312" w:eastAsia="仿宋_GB2312"/>
        </w:rPr>
        <w:t>详见附件：主要材料选型1.docx</w:t>
      </w:r>
    </w:p>
    <w:p>
      <w:pPr>
        <w:pStyle w:val="null3"/>
        <w:ind w:firstLine="960"/>
      </w:pPr>
      <w:r>
        <w:rPr>
          <w:rFonts w:ascii="仿宋_GB2312" w:hAnsi="仿宋_GB2312" w:cs="仿宋_GB2312" w:eastAsia="仿宋_GB2312"/>
        </w:rPr>
        <w:t>详见附件：主要材料选型2.docx</w:t>
      </w:r>
    </w:p>
    <w:p>
      <w:pPr>
        <w:pStyle w:val="null3"/>
        <w:ind w:firstLine="960"/>
      </w:pPr>
      <w:r>
        <w:rPr>
          <w:rFonts w:ascii="仿宋_GB2312" w:hAnsi="仿宋_GB2312" w:cs="仿宋_GB2312" w:eastAsia="仿宋_GB2312"/>
        </w:rPr>
        <w:t>详见附件：主要材料选型3.docx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详见附件：已确认合同模板.docx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