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EE6E5">
      <w:pPr>
        <w:pStyle w:val="3"/>
        <w:rPr>
          <w:rFonts w:hint="default" w:cs="宋体" w:eastAsiaTheme="minorEastAsia"/>
          <w:color w:val="auto"/>
          <w:highlight w:val="none"/>
          <w:lang w:val="en-US" w:eastAsia="zh-CN"/>
        </w:rPr>
      </w:pPr>
      <w:r>
        <w:rPr>
          <w:rFonts w:hint="eastAsia" w:cs="宋体" w:eastAsiaTheme="minorEastAsia"/>
          <w:color w:val="auto"/>
          <w:highlight w:val="none"/>
          <w:lang w:val="en-US" w:eastAsia="zh-CN"/>
        </w:rPr>
        <w:t>四个演出团控制系统采购更新</w:t>
      </w:r>
      <w:r>
        <w:rPr>
          <w:rFonts w:hint="eastAsia" w:cs="宋体" w:eastAsiaTheme="minorEastAsia"/>
          <w:color w:val="auto"/>
          <w:highlight w:val="none"/>
          <w:lang w:val="en-US" w:eastAsia="zh-CN"/>
        </w:rPr>
        <w:t>项目</w:t>
      </w:r>
    </w:p>
    <w:p w14:paraId="06276743">
      <w:pPr>
        <w:pStyle w:val="3"/>
        <w:rPr>
          <w:rFonts w:cs="宋体" w:eastAsiaTheme="minorEastAsia"/>
          <w:color w:val="auto"/>
          <w:highlight w:val="none"/>
        </w:rPr>
      </w:pPr>
      <w:r>
        <w:rPr>
          <w:rFonts w:hint="eastAsia" w:cs="宋体" w:eastAsiaTheme="minorEastAsia"/>
          <w:color w:val="auto"/>
          <w:highlight w:val="none"/>
          <w:lang w:val="en-US" w:eastAsia="zh-CN"/>
        </w:rPr>
        <w:t>采购</w:t>
      </w:r>
      <w:r>
        <w:rPr>
          <w:rFonts w:cs="宋体" w:eastAsiaTheme="minorEastAsia"/>
          <w:color w:val="auto"/>
          <w:highlight w:val="none"/>
        </w:rPr>
        <w:t>合同</w:t>
      </w:r>
    </w:p>
    <w:p w14:paraId="3015CC07">
      <w:pPr>
        <w:kinsoku w:val="0"/>
        <w:spacing w:line="440" w:lineRule="exact"/>
        <w:ind w:firstLine="600" w:firstLineChars="250"/>
        <w:rPr>
          <w:rFonts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甲方（买方）：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</w:p>
    <w:p w14:paraId="309475B9">
      <w:pPr>
        <w:kinsoku w:val="0"/>
        <w:spacing w:line="440" w:lineRule="exact"/>
        <w:ind w:firstLine="600" w:firstLineChars="250"/>
        <w:rPr>
          <w:rFonts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乙方（卖方）：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</w:t>
      </w:r>
    </w:p>
    <w:p w14:paraId="004AE1E2">
      <w:pPr>
        <w:kinsoku w:val="0"/>
        <w:spacing w:line="440" w:lineRule="exact"/>
        <w:ind w:firstLine="600" w:firstLineChars="25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根据《中华人民共和国政府采购法》、《中华人民共和国民法典》等法律法规，甲方通过</w:t>
      </w:r>
      <w:r>
        <w:rPr>
          <w:rFonts w:hint="eastAsia" w:ascii="宋体" w:hAnsi="宋体" w:eastAsia="宋体" w:cs="宋体"/>
          <w:color w:val="auto"/>
          <w:highlight w:val="none"/>
          <w:u w:val="none"/>
        </w:rPr>
        <w:t>公开招标</w:t>
      </w:r>
      <w:r>
        <w:rPr>
          <w:rFonts w:hint="eastAsia" w:ascii="宋体" w:hAnsi="宋体" w:eastAsia="宋体" w:cs="宋体"/>
          <w:color w:val="auto"/>
          <w:highlight w:val="none"/>
          <w:u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highlight w:val="none"/>
        </w:rPr>
        <w:t>选定乙方为中标供应商。甲、乙双方在平等基础上协商一致，达成如下合同条款：</w:t>
      </w:r>
    </w:p>
    <w:p w14:paraId="189F8238">
      <w:pPr>
        <w:kinsoku w:val="0"/>
        <w:spacing w:line="440" w:lineRule="exact"/>
        <w:ind w:firstLine="600" w:firstLineChars="25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一、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合同内容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552"/>
        <w:gridCol w:w="2130"/>
        <w:gridCol w:w="708"/>
        <w:gridCol w:w="710"/>
        <w:gridCol w:w="851"/>
        <w:gridCol w:w="951"/>
        <w:gridCol w:w="890"/>
      </w:tblGrid>
      <w:tr w14:paraId="722BB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76" w:type="pct"/>
            <w:vAlign w:val="center"/>
          </w:tcPr>
          <w:p w14:paraId="790850F8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序号</w:t>
            </w:r>
          </w:p>
        </w:tc>
        <w:tc>
          <w:tcPr>
            <w:tcW w:w="901" w:type="pct"/>
            <w:vAlign w:val="center"/>
          </w:tcPr>
          <w:p w14:paraId="2E849DCF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产品名称</w:t>
            </w:r>
          </w:p>
        </w:tc>
        <w:tc>
          <w:tcPr>
            <w:tcW w:w="1237" w:type="pct"/>
            <w:vAlign w:val="center"/>
          </w:tcPr>
          <w:p w14:paraId="36DE407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型号</w:t>
            </w:r>
          </w:p>
        </w:tc>
        <w:tc>
          <w:tcPr>
            <w:tcW w:w="411" w:type="pct"/>
            <w:vAlign w:val="center"/>
          </w:tcPr>
          <w:p w14:paraId="2265F56E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产地</w:t>
            </w:r>
          </w:p>
        </w:tc>
        <w:tc>
          <w:tcPr>
            <w:tcW w:w="412" w:type="pct"/>
            <w:vAlign w:val="center"/>
          </w:tcPr>
          <w:p w14:paraId="0E163A1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数量</w:t>
            </w:r>
          </w:p>
        </w:tc>
        <w:tc>
          <w:tcPr>
            <w:tcW w:w="494" w:type="pct"/>
            <w:vAlign w:val="center"/>
          </w:tcPr>
          <w:p w14:paraId="1659AA8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单价</w:t>
            </w:r>
          </w:p>
        </w:tc>
        <w:tc>
          <w:tcPr>
            <w:tcW w:w="552" w:type="pct"/>
            <w:vAlign w:val="center"/>
          </w:tcPr>
          <w:p w14:paraId="6B5834D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总价</w:t>
            </w:r>
          </w:p>
        </w:tc>
        <w:tc>
          <w:tcPr>
            <w:tcW w:w="518" w:type="pct"/>
            <w:vAlign w:val="center"/>
          </w:tcPr>
          <w:p w14:paraId="0B2A576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备注</w:t>
            </w:r>
          </w:p>
        </w:tc>
      </w:tr>
      <w:tr w14:paraId="324E1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476" w:type="pct"/>
            <w:vAlign w:val="center"/>
          </w:tcPr>
          <w:p w14:paraId="3C241F7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</w:t>
            </w:r>
          </w:p>
        </w:tc>
        <w:tc>
          <w:tcPr>
            <w:tcW w:w="901" w:type="pct"/>
            <w:vAlign w:val="center"/>
          </w:tcPr>
          <w:p w14:paraId="4C70797A"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37" w:type="pct"/>
            <w:vAlign w:val="center"/>
          </w:tcPr>
          <w:p w14:paraId="43D7010F">
            <w:pPr>
              <w:widowControl/>
              <w:spacing w:line="240" w:lineRule="auto"/>
              <w:jc w:val="left"/>
              <w:rPr>
                <w:rFonts w:cs="宋体" w:asciiTheme="minorEastAsia" w:hAnsiTheme="minorEastAsia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1" w:type="pct"/>
            <w:vAlign w:val="center"/>
          </w:tcPr>
          <w:p w14:paraId="6271BC4D">
            <w:pPr>
              <w:spacing w:line="440" w:lineRule="exact"/>
              <w:jc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12" w:type="pct"/>
            <w:vAlign w:val="center"/>
          </w:tcPr>
          <w:p w14:paraId="5235B645"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4" w:type="pct"/>
            <w:vAlign w:val="center"/>
          </w:tcPr>
          <w:p w14:paraId="4C3F08B4">
            <w:pPr>
              <w:autoSpaceDN w:val="0"/>
              <w:spacing w:line="440" w:lineRule="exact"/>
              <w:jc w:val="center"/>
              <w:textAlignment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2" w:type="pct"/>
            <w:vAlign w:val="center"/>
          </w:tcPr>
          <w:p w14:paraId="016B9978">
            <w:pPr>
              <w:autoSpaceDN w:val="0"/>
              <w:spacing w:line="440" w:lineRule="exact"/>
              <w:jc w:val="center"/>
              <w:textAlignment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vAlign w:val="center"/>
          </w:tcPr>
          <w:p w14:paraId="1F0D435C">
            <w:pPr>
              <w:autoSpaceDN w:val="0"/>
              <w:spacing w:line="440" w:lineRule="exact"/>
              <w:jc w:val="center"/>
              <w:textAlignment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</w:tr>
      <w:tr w14:paraId="6AD1E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377" w:type="pct"/>
            <w:gridSpan w:val="2"/>
            <w:vAlign w:val="center"/>
          </w:tcPr>
          <w:p w14:paraId="0DE3BD54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总计（人民币/元）</w:t>
            </w:r>
          </w:p>
        </w:tc>
        <w:tc>
          <w:tcPr>
            <w:tcW w:w="3623" w:type="pct"/>
            <w:gridSpan w:val="6"/>
            <w:vAlign w:val="center"/>
          </w:tcPr>
          <w:p w14:paraId="43DD0AEC">
            <w:pPr>
              <w:adjustRightInd w:val="0"/>
              <w:snapToGrid w:val="0"/>
              <w:spacing w:line="440" w:lineRule="exact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￥：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（大写：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）</w:t>
            </w:r>
          </w:p>
        </w:tc>
      </w:tr>
    </w:tbl>
    <w:p w14:paraId="3554AAFC">
      <w:pPr>
        <w:kinsoku w:val="0"/>
        <w:spacing w:line="440" w:lineRule="exact"/>
        <w:ind w:firstLine="600" w:firstLineChars="25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（参数附件说明）</w:t>
      </w:r>
    </w:p>
    <w:p w14:paraId="357D21F3">
      <w:pPr>
        <w:kinsoku w:val="0"/>
        <w:spacing w:line="440" w:lineRule="exact"/>
        <w:ind w:right="-250" w:rightChars="-104" w:firstLine="600" w:firstLineChars="25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乙方负责按以上确定的产品规格、型号及配套内容进行供货，及时运到甲方指定交货地点安装调试，确保所有产品达到最佳运行状态，做好售后服务工作。</w:t>
      </w:r>
    </w:p>
    <w:p w14:paraId="43A79E98"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二、合同价格</w:t>
      </w:r>
    </w:p>
    <w:p w14:paraId="3BF1307B">
      <w:pPr>
        <w:kinsoku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合同总价：人民币大写：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小写：</w:t>
      </w:r>
      <w:r>
        <w:rPr>
          <w:rFonts w:hint="default" w:ascii="Arial" w:hAnsi="Arial" w:eastAsia="宋体" w:cs="Arial"/>
          <w:color w:val="auto"/>
          <w:highlight w:val="none"/>
        </w:rPr>
        <w:t>¥</w:t>
      </w:r>
      <w:r>
        <w:rPr>
          <w:rFonts w:hint="eastAsia" w:ascii="Arial" w:hAnsi="Arial" w:eastAsia="宋体" w:cs="Arial"/>
          <w:color w:val="auto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highlight w:val="none"/>
        </w:rPr>
        <w:t>元。</w:t>
      </w:r>
    </w:p>
    <w:p w14:paraId="4D022F23">
      <w:pPr>
        <w:kinsoku w:val="0"/>
        <w:spacing w:line="440" w:lineRule="exact"/>
        <w:ind w:right="-365" w:rightChars="-152"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合同总价包括：所供货物、服务且验收合格的所有费用，包括出厂价、运杂费（含保险）、仓储保管费、安装调试费、检测费、人工费、利润、税费等其他一切相关费用；包括从产品供应地点到交货地点，且使产品具备使用条件的一切费用。合同总价不可变更，不受市场价变化的影响，不受实际数量变化的影响。</w:t>
      </w:r>
    </w:p>
    <w:p w14:paraId="73A14EF0"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三、款项支付</w:t>
      </w:r>
    </w:p>
    <w:p w14:paraId="309B8A3F">
      <w:pPr>
        <w:kinsoku w:val="0"/>
        <w:spacing w:line="440" w:lineRule="exact"/>
        <w:ind w:right="-365" w:rightChars="-152" w:firstLine="480" w:firstLineChars="200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合同签订后分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highlight w:val="none"/>
        </w:rPr>
        <w:t>次付款。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第一次为</w:t>
      </w:r>
      <w:r>
        <w:rPr>
          <w:color w:val="auto"/>
          <w:highlight w:val="none"/>
        </w:rPr>
        <w:t xml:space="preserve">合同签订后 </w:t>
      </w:r>
      <w:r>
        <w:rPr>
          <w:rFonts w:hint="eastAsia"/>
          <w:color w:val="auto"/>
          <w:highlight w:val="none"/>
        </w:rPr>
        <w:t>10</w:t>
      </w:r>
      <w:r>
        <w:rPr>
          <w:rFonts w:hint="eastAsia"/>
          <w:color w:val="auto"/>
          <w:highlight w:val="none"/>
          <w:lang w:val="en-US" w:eastAsia="zh-CN"/>
        </w:rPr>
        <w:t>个工作</w:t>
      </w:r>
      <w:r>
        <w:rPr>
          <w:color w:val="auto"/>
          <w:highlight w:val="none"/>
        </w:rPr>
        <w:t>日内，支付合同总金额的</w:t>
      </w:r>
      <w:r>
        <w:rPr>
          <w:rFonts w:hint="eastAsia"/>
          <w:color w:val="auto"/>
          <w:highlight w:val="none"/>
          <w:lang w:val="en-US" w:eastAsia="zh-CN"/>
        </w:rPr>
        <w:t>70</w:t>
      </w:r>
      <w:r>
        <w:rPr>
          <w:color w:val="auto"/>
          <w:highlight w:val="none"/>
        </w:rPr>
        <w:t>%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即</w:t>
      </w:r>
      <w:r>
        <w:rPr>
          <w:rFonts w:hint="eastAsia" w:ascii="宋体" w:hAnsi="宋体" w:eastAsia="宋体" w:cs="宋体"/>
          <w:color w:val="auto"/>
          <w:highlight w:val="none"/>
        </w:rPr>
        <w:t>人民币大写：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小写：</w:t>
      </w:r>
      <w:r>
        <w:rPr>
          <w:rFonts w:hint="default" w:ascii="Arial" w:hAnsi="Arial" w:eastAsia="宋体" w:cs="Arial"/>
          <w:color w:val="auto"/>
          <w:highlight w:val="none"/>
        </w:rPr>
        <w:t>¥</w:t>
      </w:r>
      <w:r>
        <w:rPr>
          <w:rFonts w:hint="eastAsia" w:ascii="Arial" w:hAnsi="Arial" w:eastAsia="宋体" w:cs="Arial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</w:t>
      </w:r>
      <w:r>
        <w:rPr>
          <w:rFonts w:hint="eastAsia"/>
          <w:color w:val="auto"/>
          <w:highlight w:val="none"/>
        </w:rPr>
        <w:t>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第二次为货到验收合格后10个工作日内</w:t>
      </w:r>
      <w:r>
        <w:rPr>
          <w:color w:val="auto"/>
          <w:highlight w:val="none"/>
        </w:rPr>
        <w:t>，支付合同总金额的30%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即</w:t>
      </w:r>
      <w:r>
        <w:rPr>
          <w:rFonts w:hint="eastAsia" w:ascii="宋体" w:hAnsi="宋体" w:eastAsia="宋体" w:cs="宋体"/>
          <w:color w:val="auto"/>
          <w:highlight w:val="none"/>
        </w:rPr>
        <w:t>人民币大写：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小写：</w:t>
      </w:r>
      <w:r>
        <w:rPr>
          <w:rFonts w:hint="default" w:ascii="Arial" w:hAnsi="Arial" w:eastAsia="宋体" w:cs="Arial"/>
          <w:color w:val="auto"/>
          <w:highlight w:val="none"/>
        </w:rPr>
        <w:t>¥</w:t>
      </w:r>
      <w:r>
        <w:rPr>
          <w:rFonts w:hint="eastAsia" w:ascii="Arial" w:hAnsi="Arial" w:eastAsia="宋体" w:cs="Arial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/>
          <w:color w:val="auto"/>
          <w:highlight w:val="none"/>
        </w:rPr>
        <w:t>；</w:t>
      </w:r>
    </w:p>
    <w:p w14:paraId="28B8125A">
      <w:pPr>
        <w:adjustRightInd w:val="0"/>
        <w:snapToGrid w:val="0"/>
        <w:spacing w:line="440" w:lineRule="exact"/>
        <w:ind w:firstLine="482" w:firstLineChars="20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四、交货条件</w:t>
      </w:r>
    </w:p>
    <w:p w14:paraId="3E412F49">
      <w:pPr>
        <w:kinsoku w:val="0"/>
        <w:spacing w:line="440" w:lineRule="exact"/>
        <w:ind w:right="-365" w:rightChars="-152"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1、交货地点：甲方指定地点</w:t>
      </w:r>
    </w:p>
    <w:p w14:paraId="286BF5B0">
      <w:pPr>
        <w:widowControl/>
        <w:ind w:firstLine="480" w:firstLineChars="200"/>
        <w:jc w:val="left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2、交货期限：自合同签订之日起 30日历天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，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 w:bidi="ar"/>
        </w:rPr>
        <w:t>如遇特殊情况顺延。</w:t>
      </w:r>
    </w:p>
    <w:p w14:paraId="56772E01">
      <w:pPr>
        <w:widowControl/>
        <w:ind w:firstLine="480" w:firstLineChars="200"/>
        <w:jc w:val="left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3、质保期：验收合格之日起 1 年。 </w:t>
      </w:r>
    </w:p>
    <w:p w14:paraId="1471F2E5">
      <w:pPr>
        <w:widowControl/>
        <w:ind w:firstLine="480" w:firstLineChars="200"/>
        <w:jc w:val="left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4、售后要求：质保期内，发生质量问题，乙方自接到甲方通知后，1 小时内响应，应于 4 小时内派出专业的维修人员到现场进行检测维修，12 小时内完成修复，发生的全部费用由乙方承担。</w:t>
      </w:r>
    </w:p>
    <w:p w14:paraId="0436BC9E"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五、运输方式：</w:t>
      </w:r>
      <w:r>
        <w:rPr>
          <w:rFonts w:hint="eastAsia" w:ascii="宋体" w:hAnsi="宋体" w:eastAsia="宋体" w:cs="宋体"/>
          <w:color w:val="auto"/>
          <w:highlight w:val="none"/>
        </w:rPr>
        <w:t>根据产品特性，由乙方在保证产品质量的前提下，自行选择运输及包装方式，发生的一切费用全部由乙方承担。</w:t>
      </w:r>
    </w:p>
    <w:p w14:paraId="35C1A1C5">
      <w:pPr>
        <w:adjustRightInd w:val="0"/>
        <w:snapToGrid w:val="0"/>
        <w:spacing w:line="440" w:lineRule="exact"/>
        <w:ind w:firstLine="482" w:firstLineChars="20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六、质量保证</w:t>
      </w:r>
    </w:p>
    <w:p w14:paraId="5BFC52A6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1、乙方保证所有产品全部符合国家及行业强制性标准；</w:t>
      </w:r>
    </w:p>
    <w:p w14:paraId="4DEB153F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2、乙方保证所提供的产品质量可靠，进货渠道正常，配置合理，技术性能完全满足招标文件要求；</w:t>
      </w:r>
    </w:p>
    <w:p w14:paraId="3ED834F4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若产品所用原材料或加工工艺造成的质量和内外观缺陷问题，由乙方负责解决并承担费用。（乙方保证货物是全新的、未曾使用过的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696B2630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4、产品性能未达到技术要求的，乙方限期内进行整改；整改仍达不到要求的，甲方有权解除合同，保留依法索赔的权利。</w:t>
      </w:r>
    </w:p>
    <w:p w14:paraId="03964FEC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5、质保期内若发生产品质量问题，乙方应立即免费解决；否则，甲方有权从剩余合同款中支付相关费用。</w:t>
      </w:r>
    </w:p>
    <w:p w14:paraId="33E62ED5">
      <w:pPr>
        <w:adjustRightInd w:val="0"/>
        <w:snapToGrid w:val="0"/>
        <w:spacing w:line="440" w:lineRule="exact"/>
        <w:ind w:firstLine="359" w:firstLineChars="149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七、安装、调试及技术服务</w:t>
      </w:r>
    </w:p>
    <w:p w14:paraId="1CFC0DD0">
      <w:pPr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1、技术资料包括：出厂检测报告、产品使用说明书、合格证等其它相关资料。</w:t>
      </w:r>
    </w:p>
    <w:p w14:paraId="6B5AE3D4">
      <w:pPr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质保期内免费维护，并免费提供备品、备件，更换故障部件、产品等，乙方在接到用户对所购产品进行维修的要求后，及时到用户现场进行维修服务，全部费用由乙方支付，若需将产品送回生产厂，由乙方支付维修产品所需的往返费用。</w:t>
      </w:r>
    </w:p>
    <w:p w14:paraId="73FB1D7D">
      <w:pPr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3、乙方保证产品完全按招标要求提供，若达不到要求，乙方须及时跟甲方沟通协商更换产品，并按照再次验收合格时间相应延长该产品保修期。</w:t>
      </w:r>
    </w:p>
    <w:p w14:paraId="7F4FC862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4、服务承诺：按投标文件中的服务承诺执行。</w:t>
      </w:r>
    </w:p>
    <w:p w14:paraId="2C0438C6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5、乙方人员在安装调试过程中出现的安全责任问题由乙方全权负责。</w:t>
      </w:r>
    </w:p>
    <w:p w14:paraId="127E46A4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6、设备安装调试结束后，安排技术人员进行培训，达到操作熟练程度。</w:t>
      </w:r>
    </w:p>
    <w:p w14:paraId="43D6A9F4">
      <w:pPr>
        <w:adjustRightInd w:val="0"/>
        <w:snapToGrid w:val="0"/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八、产品包装及环保要求</w:t>
      </w:r>
    </w:p>
    <w:p w14:paraId="53888CF0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本项目标的产品如需要包装或快递的，乙方须严格按照“关于印发《商品包装政府采购需求标准（试行）》、 《快递包装政府采购需求标准（试行）》的通知（财办库〔2020〕123号）”规定执行。</w:t>
      </w:r>
    </w:p>
    <w:p w14:paraId="720A2193">
      <w:pPr>
        <w:tabs>
          <w:tab w:val="left" w:pos="5355"/>
        </w:tabs>
        <w:spacing w:line="440" w:lineRule="exact"/>
        <w:ind w:firstLine="506" w:firstLineChars="21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九、违约责任：</w:t>
      </w:r>
    </w:p>
    <w:p w14:paraId="0CD19B9A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1、按《中华人民共和国民法典》中的相关条款执行。</w:t>
      </w:r>
    </w:p>
    <w:p w14:paraId="0BD3940C">
      <w:pPr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未按合同要求提供产品或产品质量不能满足合同约定的技术要求，甲方有权终止合同，乙方须无条件全额退回甲方已付给乙方的货款，并向甲方支付合同总价款百分之十的违约金。并保留追究乙方违约责任的权利。</w:t>
      </w:r>
    </w:p>
    <w:p w14:paraId="1AA6F6AB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3、乙方交货或甲方付款时间迟延的，违约方按照每天1%向对方承担违约责任，延迟30天以上，甲方有权解除合同。产品质量问题违约的，除了按照迟延时间计算违约金外，另可以采取退货、换货等方式，由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highlight w:val="none"/>
        </w:rPr>
        <w:t>承担一切费用。</w:t>
      </w:r>
    </w:p>
    <w:p w14:paraId="595C4BBE">
      <w:pPr>
        <w:spacing w:line="440" w:lineRule="exact"/>
        <w:ind w:firstLine="532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十、产品验收</w:t>
      </w:r>
    </w:p>
    <w:p w14:paraId="1AA2B78D">
      <w:pPr>
        <w:tabs>
          <w:tab w:val="left" w:pos="5355"/>
        </w:tabs>
        <w:spacing w:line="44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1、验收由甲、乙双方相关人员组成的验收小组负责。 </w:t>
      </w:r>
    </w:p>
    <w:p w14:paraId="468744BE">
      <w:pPr>
        <w:tabs>
          <w:tab w:val="left" w:pos="5355"/>
        </w:tabs>
        <w:spacing w:line="44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2、提供制造厂家的检验测试报告或产品出厂检测报告。</w:t>
      </w:r>
    </w:p>
    <w:p w14:paraId="6240EFC0">
      <w:pPr>
        <w:tabs>
          <w:tab w:val="left" w:pos="5355"/>
        </w:tabs>
        <w:spacing w:line="44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3、甲方根据合同要求对产品进行到货验收、确认产品的产地、规格、型号和数量。验收依据为已签订的合同文本、投标文件和国内相应的标准、规范。</w:t>
      </w:r>
    </w:p>
    <w:p w14:paraId="4365ABFD">
      <w:pPr>
        <w:tabs>
          <w:tab w:val="left" w:pos="5355"/>
        </w:tabs>
        <w:spacing w:line="44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4、验收合格后，填写产品验收单，并向甲方提交产品所包含的所有资料，以便使用单位日后管理和维护。</w:t>
      </w:r>
    </w:p>
    <w:p w14:paraId="39F66BC0">
      <w:pPr>
        <w:tabs>
          <w:tab w:val="left" w:pos="5355"/>
        </w:tabs>
        <w:spacing w:line="44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5、在交割以前产品所发生的一切损失及费用由乙方承担。性能达到技术要求的，验收通过；验收不合格的，限期整改。</w:t>
      </w:r>
    </w:p>
    <w:p w14:paraId="4C601AC7">
      <w:pPr>
        <w:tabs>
          <w:tab w:val="left" w:pos="5355"/>
        </w:tabs>
        <w:spacing w:line="44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6、如因货物的质量问题发生争议，由甲方属地技术质量监督部门进行质量鉴定；货物符合质量标准的，鉴定费由甲方承担；货物不符合质量标准的，鉴定费由乙方承担。</w:t>
      </w:r>
    </w:p>
    <w:p w14:paraId="31567789">
      <w:pPr>
        <w:tabs>
          <w:tab w:val="left" w:pos="5355"/>
        </w:tabs>
        <w:spacing w:line="440" w:lineRule="exact"/>
        <w:ind w:firstLine="48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十一、合同争议的解决</w:t>
      </w:r>
    </w:p>
    <w:p w14:paraId="6A9C028C">
      <w:pPr>
        <w:tabs>
          <w:tab w:val="left" w:pos="5355"/>
        </w:tabs>
        <w:spacing w:line="440" w:lineRule="exact"/>
        <w:ind w:firstLine="480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合同一经签订，不得随意变更、中止或终止。对确需变更、调整或者中止、终止合同的，应按规定履行相应的手续。</w:t>
      </w:r>
    </w:p>
    <w:p w14:paraId="6E6FAD11">
      <w:pPr>
        <w:tabs>
          <w:tab w:val="left" w:pos="5355"/>
        </w:tabs>
        <w:spacing w:line="440" w:lineRule="exac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合同执行中发生争议的，甲、乙双方应协商解决，协商达不成一致时，可向甲方所在地人民法院提起诉讼。</w:t>
      </w:r>
    </w:p>
    <w:p w14:paraId="6C89F554">
      <w:pPr>
        <w:tabs>
          <w:tab w:val="left" w:pos="5355"/>
        </w:tabs>
        <w:spacing w:line="440" w:lineRule="exact"/>
        <w:ind w:firstLine="48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十二、其它事项</w:t>
      </w:r>
    </w:p>
    <w:p w14:paraId="20327B5C">
      <w:pPr>
        <w:adjustRightInd w:val="0"/>
        <w:snapToGrid w:val="0"/>
        <w:spacing w:line="440" w:lineRule="exact"/>
        <w:ind w:firstLine="600" w:firstLineChars="25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1、甲、乙双方做为合同执行的主体，有义务及时完全履行合同。</w:t>
      </w:r>
    </w:p>
    <w:p w14:paraId="7A3EFC27">
      <w:pPr>
        <w:adjustRightInd w:val="0"/>
        <w:snapToGrid w:val="0"/>
        <w:spacing w:line="440" w:lineRule="exact"/>
        <w:ind w:firstLine="600" w:firstLineChars="25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2、甲方使用部门代表签署合同，并随时监督合同履行情况。</w:t>
      </w:r>
    </w:p>
    <w:p w14:paraId="4A179A52">
      <w:pPr>
        <w:adjustRightInd w:val="0"/>
        <w:snapToGrid w:val="0"/>
        <w:spacing w:line="440" w:lineRule="exact"/>
        <w:ind w:firstLine="600" w:firstLineChars="25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3、合同未尽事宜，由甲、乙双方协商，协商方案作为本合同不可分割的组成部分，与本合同具有同等法律效力。</w:t>
      </w:r>
    </w:p>
    <w:p w14:paraId="57E1D12D">
      <w:pPr>
        <w:adjustRightInd w:val="0"/>
        <w:snapToGrid w:val="0"/>
        <w:spacing w:line="440" w:lineRule="exact"/>
        <w:ind w:firstLine="600" w:firstLineChars="25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4、招标文件和乙方的投标文件以及合同附件均为合同不可分割的部分。</w:t>
      </w:r>
    </w:p>
    <w:p w14:paraId="0BAB9CB2">
      <w:pPr>
        <w:adjustRightInd w:val="0"/>
        <w:snapToGrid w:val="0"/>
        <w:spacing w:line="440" w:lineRule="exact"/>
        <w:ind w:firstLine="600" w:firstLineChars="25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5、合同一式陆份，甲方持肆份、乙方执壹份，招标代理机构壹份。双方签字盖章后生效，合同执行完毕自动失效。（合同的服务承诺长期有效）。</w:t>
      </w:r>
    </w:p>
    <w:p w14:paraId="3C091746">
      <w:pPr>
        <w:adjustRightInd w:val="0"/>
        <w:snapToGrid w:val="0"/>
        <w:spacing w:line="440" w:lineRule="exact"/>
        <w:ind w:firstLine="600" w:firstLineChars="2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6、使用单位收货、验货人员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：电话：_______________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　</w:t>
      </w:r>
    </w:p>
    <w:p w14:paraId="70A83F2B">
      <w:pPr>
        <w:pStyle w:val="2"/>
        <w:rPr>
          <w:rFonts w:hint="eastAsia" w:ascii="宋体" w:hAnsi="宋体" w:eastAsia="宋体" w:cs="宋体"/>
        </w:rPr>
      </w:pPr>
    </w:p>
    <w:p w14:paraId="0D36387C">
      <w:pPr>
        <w:pStyle w:val="2"/>
        <w:rPr>
          <w:rFonts w:hint="eastAsia" w:ascii="宋体" w:hAnsi="宋体" w:eastAsia="宋体" w:cs="宋体"/>
        </w:rPr>
      </w:pPr>
    </w:p>
    <w:p w14:paraId="6CC4AC26">
      <w:pPr>
        <w:pStyle w:val="2"/>
        <w:ind w:left="0" w:leftChars="0" w:firstLine="0" w:firstLineChars="0"/>
        <w:rPr>
          <w:rFonts w:hint="eastAsia" w:ascii="宋体" w:hAnsi="宋体" w:eastAsia="宋体" w:cs="宋体"/>
        </w:rPr>
      </w:pPr>
    </w:p>
    <w:tbl>
      <w:tblPr>
        <w:tblStyle w:val="5"/>
        <w:tblpPr w:leftFromText="180" w:rightFromText="180" w:vertAnchor="text" w:horzAnchor="page" w:tblpXSpec="center" w:tblpY="147"/>
        <w:tblOverlap w:val="never"/>
        <w:tblW w:w="508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  <w:gridCol w:w="4537"/>
      </w:tblGrid>
      <w:tr w14:paraId="6F7C3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474F8F6E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甲方（买方）：</w:t>
            </w:r>
          </w:p>
        </w:tc>
        <w:tc>
          <w:tcPr>
            <w:tcW w:w="2591" w:type="pct"/>
            <w:noWrap/>
            <w:vAlign w:val="center"/>
          </w:tcPr>
          <w:p w14:paraId="276C33FE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乙方（卖方）：</w:t>
            </w:r>
          </w:p>
        </w:tc>
      </w:tr>
      <w:tr w14:paraId="571E4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0CE15292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　址：</w:t>
            </w:r>
          </w:p>
        </w:tc>
        <w:tc>
          <w:tcPr>
            <w:tcW w:w="2591" w:type="pct"/>
            <w:noWrap/>
            <w:vAlign w:val="center"/>
          </w:tcPr>
          <w:p w14:paraId="77B6F418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　址：</w:t>
            </w:r>
          </w:p>
        </w:tc>
      </w:tr>
      <w:tr w14:paraId="21907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16F371AB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授权代理人：　</w:t>
            </w:r>
          </w:p>
        </w:tc>
        <w:tc>
          <w:tcPr>
            <w:tcW w:w="2591" w:type="pct"/>
            <w:noWrap/>
            <w:vAlign w:val="center"/>
          </w:tcPr>
          <w:p w14:paraId="7ED230F7">
            <w:pPr>
              <w:tabs>
                <w:tab w:val="left" w:pos="5355"/>
              </w:tabs>
              <w:spacing w:line="50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授权代理人</w:t>
            </w:r>
          </w:p>
        </w:tc>
      </w:tr>
      <w:tr w14:paraId="714CA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4F66A37E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联系电话：</w:t>
            </w:r>
          </w:p>
        </w:tc>
        <w:tc>
          <w:tcPr>
            <w:tcW w:w="2591" w:type="pct"/>
            <w:noWrap/>
            <w:vAlign w:val="center"/>
          </w:tcPr>
          <w:p w14:paraId="6772E9A0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联系电话：</w:t>
            </w:r>
          </w:p>
        </w:tc>
      </w:tr>
      <w:tr w14:paraId="39938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3A101347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开户行：</w:t>
            </w:r>
          </w:p>
        </w:tc>
        <w:tc>
          <w:tcPr>
            <w:tcW w:w="2591" w:type="pct"/>
            <w:noWrap/>
            <w:vAlign w:val="center"/>
          </w:tcPr>
          <w:p w14:paraId="4EF998D7">
            <w:pPr>
              <w:tabs>
                <w:tab w:val="left" w:pos="5355"/>
              </w:tabs>
              <w:spacing w:line="50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开户行：</w:t>
            </w:r>
          </w:p>
        </w:tc>
      </w:tr>
      <w:tr w14:paraId="72D74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09F88C0E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账号：</w:t>
            </w:r>
          </w:p>
        </w:tc>
        <w:tc>
          <w:tcPr>
            <w:tcW w:w="2591" w:type="pct"/>
            <w:noWrap/>
            <w:vAlign w:val="center"/>
          </w:tcPr>
          <w:p w14:paraId="3CE3B630">
            <w:pPr>
              <w:tabs>
                <w:tab w:val="left" w:pos="5355"/>
              </w:tabs>
              <w:spacing w:line="50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账号：</w:t>
            </w:r>
          </w:p>
        </w:tc>
      </w:tr>
      <w:tr w14:paraId="39B11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5D3FD250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>年  月   日</w:t>
            </w:r>
          </w:p>
        </w:tc>
        <w:tc>
          <w:tcPr>
            <w:tcW w:w="2591" w:type="pct"/>
            <w:noWrap/>
            <w:vAlign w:val="center"/>
          </w:tcPr>
          <w:p w14:paraId="7C2FB75C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日期：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>年  月  日</w:t>
            </w:r>
          </w:p>
        </w:tc>
      </w:tr>
    </w:tbl>
    <w:p w14:paraId="6C1CC876">
      <w:pPr>
        <w:snapToGrid w:val="0"/>
        <w:ind w:firstLine="420" w:firstLineChars="200"/>
        <w:rPr>
          <w:rFonts w:ascii="宋体" w:hAnsi="宋体" w:eastAsia="宋体" w:cs="宋体"/>
          <w:sz w:val="21"/>
          <w:szCs w:val="21"/>
        </w:rPr>
      </w:pPr>
    </w:p>
    <w:p w14:paraId="6694F05A">
      <w:pPr>
        <w:snapToGrid w:val="0"/>
        <w:ind w:firstLine="420" w:firstLineChars="200"/>
        <w:rPr>
          <w:rFonts w:ascii="宋体" w:hAnsi="宋体" w:eastAsia="宋体" w:cs="宋体"/>
          <w:sz w:val="21"/>
          <w:szCs w:val="21"/>
        </w:rPr>
      </w:pPr>
    </w:p>
    <w:p w14:paraId="0BE3D2F9"/>
    <w:p w14:paraId="2DA13519">
      <w:r>
        <w:br w:type="page"/>
      </w:r>
    </w:p>
    <w:p w14:paraId="6E204448">
      <w:pPr>
        <w:pStyle w:val="3"/>
        <w:rPr>
          <w:rFonts w:hint="eastAsia" w:cs="宋体" w:eastAsiaTheme="minorEastAsia"/>
          <w:color w:val="auto"/>
          <w:highlight w:val="none"/>
          <w:lang w:val="en-US" w:eastAsia="zh-CN"/>
        </w:rPr>
      </w:pPr>
      <w:r>
        <w:rPr>
          <w:rFonts w:hint="eastAsia" w:cs="宋体" w:eastAsiaTheme="minorEastAsia"/>
          <w:color w:val="auto"/>
          <w:highlight w:val="none"/>
          <w:lang w:val="en-US" w:eastAsia="zh-CN"/>
        </w:rPr>
        <w:t>舞台机械控制系统更新改</w:t>
      </w:r>
      <w:bookmarkStart w:id="5" w:name="_GoBack"/>
      <w:bookmarkEnd w:id="5"/>
      <w:r>
        <w:rPr>
          <w:rFonts w:hint="eastAsia" w:cs="宋体" w:eastAsiaTheme="minorEastAsia"/>
          <w:color w:val="auto"/>
          <w:highlight w:val="none"/>
          <w:lang w:val="en-US" w:eastAsia="zh-CN"/>
        </w:rPr>
        <w:t>造项目</w:t>
      </w:r>
    </w:p>
    <w:p w14:paraId="7E9344C5">
      <w:pPr>
        <w:pStyle w:val="3"/>
        <w:rPr>
          <w:rFonts w:cs="宋体" w:eastAsiaTheme="minorEastAsia"/>
          <w:color w:val="auto"/>
          <w:highlight w:val="none"/>
        </w:rPr>
      </w:pPr>
      <w:r>
        <w:rPr>
          <w:rFonts w:hint="eastAsia" w:cs="宋体" w:eastAsiaTheme="minorEastAsia"/>
          <w:color w:val="auto"/>
          <w:highlight w:val="none"/>
          <w:lang w:val="en-US" w:eastAsia="zh-CN"/>
        </w:rPr>
        <w:t>采购</w:t>
      </w:r>
      <w:r>
        <w:rPr>
          <w:rFonts w:cs="宋体" w:eastAsiaTheme="minorEastAsia"/>
          <w:color w:val="auto"/>
          <w:highlight w:val="none"/>
        </w:rPr>
        <w:t>合同</w:t>
      </w:r>
    </w:p>
    <w:p w14:paraId="6B7C9CF0">
      <w:pPr>
        <w:kinsoku w:val="0"/>
        <w:spacing w:line="440" w:lineRule="exact"/>
        <w:ind w:firstLine="600" w:firstLineChars="250"/>
        <w:rPr>
          <w:rFonts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甲方（买方）：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</w:p>
    <w:p w14:paraId="044E546C">
      <w:pPr>
        <w:kinsoku w:val="0"/>
        <w:spacing w:line="440" w:lineRule="exact"/>
        <w:ind w:firstLine="600" w:firstLineChars="250"/>
        <w:rPr>
          <w:rFonts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乙方（卖方）：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</w:t>
      </w:r>
    </w:p>
    <w:p w14:paraId="41C35617">
      <w:pPr>
        <w:kinsoku w:val="0"/>
        <w:spacing w:line="440" w:lineRule="exact"/>
        <w:ind w:firstLine="600" w:firstLineChars="25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根据《中华人民共和国政府采购法》、《中华人民共和国民法典》等法律法规，甲方通过</w:t>
      </w:r>
      <w:r>
        <w:rPr>
          <w:rFonts w:hint="eastAsia" w:ascii="宋体" w:hAnsi="宋体" w:eastAsia="宋体" w:cs="宋体"/>
          <w:color w:val="auto"/>
          <w:highlight w:val="none"/>
          <w:u w:val="none"/>
        </w:rPr>
        <w:t>公开招标</w:t>
      </w:r>
      <w:r>
        <w:rPr>
          <w:rFonts w:hint="eastAsia" w:ascii="宋体" w:hAnsi="宋体" w:eastAsia="宋体" w:cs="宋体"/>
          <w:color w:val="auto"/>
          <w:highlight w:val="none"/>
          <w:u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highlight w:val="none"/>
        </w:rPr>
        <w:t>选定乙方为中标供应商。甲、乙双方在平等基础上协商一致，达成如下合同条款：</w:t>
      </w:r>
    </w:p>
    <w:p w14:paraId="444960AA">
      <w:pPr>
        <w:kinsoku w:val="0"/>
        <w:spacing w:line="440" w:lineRule="exact"/>
        <w:ind w:firstLine="600" w:firstLineChars="25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一、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合同内容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552"/>
        <w:gridCol w:w="2130"/>
        <w:gridCol w:w="708"/>
        <w:gridCol w:w="710"/>
        <w:gridCol w:w="851"/>
        <w:gridCol w:w="951"/>
        <w:gridCol w:w="890"/>
      </w:tblGrid>
      <w:tr w14:paraId="3C684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76" w:type="pct"/>
            <w:vAlign w:val="center"/>
          </w:tcPr>
          <w:p w14:paraId="7B344A9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序号</w:t>
            </w:r>
          </w:p>
        </w:tc>
        <w:tc>
          <w:tcPr>
            <w:tcW w:w="901" w:type="pct"/>
            <w:vAlign w:val="center"/>
          </w:tcPr>
          <w:p w14:paraId="3EE31518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产品名称</w:t>
            </w:r>
          </w:p>
        </w:tc>
        <w:tc>
          <w:tcPr>
            <w:tcW w:w="1237" w:type="pct"/>
            <w:vAlign w:val="center"/>
          </w:tcPr>
          <w:p w14:paraId="619505A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型号</w:t>
            </w:r>
          </w:p>
        </w:tc>
        <w:tc>
          <w:tcPr>
            <w:tcW w:w="411" w:type="pct"/>
            <w:vAlign w:val="center"/>
          </w:tcPr>
          <w:p w14:paraId="1F0EAD85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产地</w:t>
            </w:r>
          </w:p>
        </w:tc>
        <w:tc>
          <w:tcPr>
            <w:tcW w:w="412" w:type="pct"/>
            <w:vAlign w:val="center"/>
          </w:tcPr>
          <w:p w14:paraId="66D6FC8F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数量</w:t>
            </w:r>
          </w:p>
        </w:tc>
        <w:tc>
          <w:tcPr>
            <w:tcW w:w="494" w:type="pct"/>
            <w:vAlign w:val="center"/>
          </w:tcPr>
          <w:p w14:paraId="5AA651BC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单价</w:t>
            </w:r>
          </w:p>
        </w:tc>
        <w:tc>
          <w:tcPr>
            <w:tcW w:w="552" w:type="pct"/>
            <w:vAlign w:val="center"/>
          </w:tcPr>
          <w:p w14:paraId="3834EEA6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总价</w:t>
            </w:r>
          </w:p>
        </w:tc>
        <w:tc>
          <w:tcPr>
            <w:tcW w:w="518" w:type="pct"/>
            <w:vAlign w:val="center"/>
          </w:tcPr>
          <w:p w14:paraId="23D591C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备注</w:t>
            </w:r>
          </w:p>
        </w:tc>
      </w:tr>
      <w:tr w14:paraId="00DB3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476" w:type="pct"/>
            <w:vAlign w:val="center"/>
          </w:tcPr>
          <w:p w14:paraId="49BA1C68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</w:t>
            </w:r>
          </w:p>
        </w:tc>
        <w:tc>
          <w:tcPr>
            <w:tcW w:w="901" w:type="pct"/>
            <w:vAlign w:val="center"/>
          </w:tcPr>
          <w:p w14:paraId="3B2A8594"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37" w:type="pct"/>
            <w:vAlign w:val="center"/>
          </w:tcPr>
          <w:p w14:paraId="6EE3A1CB">
            <w:pPr>
              <w:widowControl/>
              <w:spacing w:line="240" w:lineRule="auto"/>
              <w:jc w:val="left"/>
              <w:rPr>
                <w:rFonts w:cs="宋体" w:asciiTheme="minorEastAsia" w:hAnsiTheme="minorEastAsia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1" w:type="pct"/>
            <w:vAlign w:val="center"/>
          </w:tcPr>
          <w:p w14:paraId="6617C6A0">
            <w:pPr>
              <w:spacing w:line="440" w:lineRule="exact"/>
              <w:jc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12" w:type="pct"/>
            <w:vAlign w:val="center"/>
          </w:tcPr>
          <w:p w14:paraId="3F9897C8"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4" w:type="pct"/>
            <w:vAlign w:val="center"/>
          </w:tcPr>
          <w:p w14:paraId="20D2CB67">
            <w:pPr>
              <w:autoSpaceDN w:val="0"/>
              <w:spacing w:line="440" w:lineRule="exact"/>
              <w:jc w:val="center"/>
              <w:textAlignment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2" w:type="pct"/>
            <w:vAlign w:val="center"/>
          </w:tcPr>
          <w:p w14:paraId="2B65CC63">
            <w:pPr>
              <w:autoSpaceDN w:val="0"/>
              <w:spacing w:line="440" w:lineRule="exact"/>
              <w:jc w:val="center"/>
              <w:textAlignment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vAlign w:val="center"/>
          </w:tcPr>
          <w:p w14:paraId="0C80232F">
            <w:pPr>
              <w:autoSpaceDN w:val="0"/>
              <w:spacing w:line="440" w:lineRule="exact"/>
              <w:jc w:val="center"/>
              <w:textAlignment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</w:tr>
      <w:tr w14:paraId="26E56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377" w:type="pct"/>
            <w:gridSpan w:val="2"/>
            <w:vAlign w:val="center"/>
          </w:tcPr>
          <w:p w14:paraId="69CFC987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总计（人民币/元）</w:t>
            </w:r>
          </w:p>
        </w:tc>
        <w:tc>
          <w:tcPr>
            <w:tcW w:w="3623" w:type="pct"/>
            <w:gridSpan w:val="6"/>
            <w:vAlign w:val="center"/>
          </w:tcPr>
          <w:p w14:paraId="25CA0888">
            <w:pPr>
              <w:adjustRightInd w:val="0"/>
              <w:snapToGrid w:val="0"/>
              <w:spacing w:line="440" w:lineRule="exact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￥：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（大写：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）</w:t>
            </w:r>
          </w:p>
        </w:tc>
      </w:tr>
    </w:tbl>
    <w:p w14:paraId="5F683545">
      <w:pPr>
        <w:kinsoku w:val="0"/>
        <w:spacing w:line="440" w:lineRule="exact"/>
        <w:ind w:firstLine="600" w:firstLineChars="25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（参数附件说明）</w:t>
      </w:r>
    </w:p>
    <w:p w14:paraId="16AE56A0">
      <w:pPr>
        <w:kinsoku w:val="0"/>
        <w:spacing w:line="440" w:lineRule="exact"/>
        <w:ind w:right="-250" w:rightChars="-104" w:firstLine="600" w:firstLineChars="25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乙方负责按以上确定的产品规格、型号及配套内容进行供货，及时运到甲方指定交货地点安装调试，确保所有产品达到最佳运行状态，做好售后服务工作。</w:t>
      </w:r>
    </w:p>
    <w:p w14:paraId="711ED3E1"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二、合同价格</w:t>
      </w:r>
    </w:p>
    <w:p w14:paraId="5703818D">
      <w:pPr>
        <w:kinsoku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合同总价：人民币大写：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小写：</w:t>
      </w:r>
      <w:r>
        <w:rPr>
          <w:rFonts w:hint="default" w:ascii="Arial" w:hAnsi="Arial" w:eastAsia="宋体" w:cs="Arial"/>
          <w:color w:val="auto"/>
          <w:highlight w:val="none"/>
        </w:rPr>
        <w:t>¥</w:t>
      </w:r>
      <w:r>
        <w:rPr>
          <w:rFonts w:hint="eastAsia" w:ascii="Arial" w:hAnsi="Arial" w:eastAsia="宋体" w:cs="Arial"/>
          <w:color w:val="auto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highlight w:val="none"/>
        </w:rPr>
        <w:t>元。</w:t>
      </w:r>
    </w:p>
    <w:p w14:paraId="074BA6CA">
      <w:pPr>
        <w:kinsoku w:val="0"/>
        <w:spacing w:line="440" w:lineRule="exact"/>
        <w:ind w:right="-365" w:rightChars="-152"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合同总价包括：所供货物、服务且验收合格的所有费用，包括出厂价、运杂费（含保险）、仓储保管费、安装调试费、检测费、人工费、利润、税费等其他一切相关费用；包括从产品供应地点到交货地点，且使产品具备使用条件的一切费用。合同总价不可变更，不受市场价变化的影响，不受实际数量变化的影响。</w:t>
      </w:r>
    </w:p>
    <w:p w14:paraId="5A56BC8B"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三、款项支付</w:t>
      </w:r>
    </w:p>
    <w:p w14:paraId="7D57621B">
      <w:pPr>
        <w:kinsoku w:val="0"/>
        <w:spacing w:line="440" w:lineRule="exact"/>
        <w:ind w:right="-365" w:rightChars="-152" w:firstLine="480" w:firstLineChars="200"/>
        <w:jc w:val="left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合同签订后分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highlight w:val="none"/>
        </w:rPr>
        <w:t>次付款。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第一次为</w:t>
      </w:r>
      <w:r>
        <w:rPr>
          <w:color w:val="auto"/>
          <w:highlight w:val="none"/>
        </w:rPr>
        <w:t xml:space="preserve">合同签订后 </w:t>
      </w:r>
      <w:r>
        <w:rPr>
          <w:rFonts w:hint="eastAsia"/>
          <w:color w:val="auto"/>
          <w:highlight w:val="none"/>
        </w:rPr>
        <w:t>10</w:t>
      </w:r>
      <w:r>
        <w:rPr>
          <w:rFonts w:hint="eastAsia"/>
          <w:color w:val="auto"/>
          <w:highlight w:val="none"/>
          <w:lang w:val="en-US" w:eastAsia="zh-CN"/>
        </w:rPr>
        <w:t>个工作</w:t>
      </w:r>
      <w:r>
        <w:rPr>
          <w:color w:val="auto"/>
          <w:highlight w:val="none"/>
        </w:rPr>
        <w:t>日内，支付合同总金额的</w:t>
      </w:r>
      <w:r>
        <w:rPr>
          <w:rFonts w:hint="eastAsia"/>
          <w:color w:val="auto"/>
          <w:highlight w:val="none"/>
          <w:lang w:val="en-US" w:eastAsia="zh-CN"/>
        </w:rPr>
        <w:t>70</w:t>
      </w:r>
      <w:r>
        <w:rPr>
          <w:color w:val="auto"/>
          <w:highlight w:val="none"/>
        </w:rPr>
        <w:t>%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即</w:t>
      </w:r>
      <w:r>
        <w:rPr>
          <w:rFonts w:hint="eastAsia" w:ascii="宋体" w:hAnsi="宋体" w:eastAsia="宋体" w:cs="宋体"/>
          <w:color w:val="auto"/>
          <w:highlight w:val="none"/>
        </w:rPr>
        <w:t>人民币大写：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小写：</w:t>
      </w:r>
      <w:r>
        <w:rPr>
          <w:rFonts w:hint="default" w:ascii="Arial" w:hAnsi="Arial" w:eastAsia="宋体" w:cs="Arial"/>
          <w:color w:val="auto"/>
          <w:highlight w:val="none"/>
        </w:rPr>
        <w:t>¥</w:t>
      </w:r>
      <w:r>
        <w:rPr>
          <w:rFonts w:hint="eastAsia" w:ascii="Arial" w:hAnsi="Arial" w:eastAsia="宋体" w:cs="Arial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</w:t>
      </w:r>
      <w:r>
        <w:rPr>
          <w:rFonts w:hint="eastAsia"/>
          <w:color w:val="auto"/>
          <w:highlight w:val="none"/>
        </w:rPr>
        <w:t>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第二次为货到验收安装调试合格后10个工作日内</w:t>
      </w:r>
      <w:r>
        <w:rPr>
          <w:color w:val="auto"/>
          <w:highlight w:val="none"/>
        </w:rPr>
        <w:t>，支付合同总金额的30%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即</w:t>
      </w:r>
      <w:r>
        <w:rPr>
          <w:rFonts w:hint="eastAsia" w:ascii="宋体" w:hAnsi="宋体" w:eastAsia="宋体" w:cs="宋体"/>
          <w:color w:val="auto"/>
          <w:highlight w:val="none"/>
        </w:rPr>
        <w:t>人民币大写：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小写：</w:t>
      </w:r>
      <w:r>
        <w:rPr>
          <w:rFonts w:hint="default" w:ascii="Arial" w:hAnsi="Arial" w:eastAsia="宋体" w:cs="Arial"/>
          <w:color w:val="auto"/>
          <w:highlight w:val="none"/>
        </w:rPr>
        <w:t>¥</w:t>
      </w:r>
      <w:r>
        <w:rPr>
          <w:rFonts w:hint="eastAsia" w:ascii="Arial" w:hAnsi="Arial" w:eastAsia="宋体" w:cs="Arial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/>
          <w:color w:val="auto"/>
          <w:highlight w:val="none"/>
        </w:rPr>
        <w:t>；</w:t>
      </w:r>
    </w:p>
    <w:p w14:paraId="0D328566">
      <w:pPr>
        <w:adjustRightInd w:val="0"/>
        <w:snapToGrid w:val="0"/>
        <w:spacing w:line="440" w:lineRule="exact"/>
        <w:ind w:firstLine="482" w:firstLineChars="20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四、交货条件</w:t>
      </w:r>
    </w:p>
    <w:p w14:paraId="2E876342">
      <w:pPr>
        <w:kinsoku w:val="0"/>
        <w:spacing w:line="440" w:lineRule="exact"/>
        <w:ind w:right="-365" w:rightChars="-152"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1、交货地点：甲方指定地点</w:t>
      </w:r>
    </w:p>
    <w:p w14:paraId="6B3E6F86">
      <w:pPr>
        <w:widowControl/>
        <w:ind w:firstLine="480" w:firstLineChars="200"/>
        <w:jc w:val="left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2、交货期限：自合同签订之日起 30日历天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，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 w:bidi="ar"/>
        </w:rPr>
        <w:t>如遇特殊情况顺延。</w:t>
      </w:r>
    </w:p>
    <w:p w14:paraId="04A4852E">
      <w:pPr>
        <w:widowControl/>
        <w:ind w:firstLine="480" w:firstLineChars="200"/>
        <w:jc w:val="left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3、质保期：验收合格之日起 1 年。 </w:t>
      </w:r>
    </w:p>
    <w:p w14:paraId="6B56E464">
      <w:pPr>
        <w:widowControl/>
        <w:ind w:firstLine="480" w:firstLineChars="200"/>
        <w:jc w:val="left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4、售后要求：质保期内，发生质量问题，乙方自接到甲方通知后，1 小时内响应，应于 4 小时内派出专业的维修人员到现场进行检测维修，12 小时内完成修复，发生的全部费用由乙方承担。</w:t>
      </w:r>
    </w:p>
    <w:p w14:paraId="16BD72F3"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五、运输方式：</w:t>
      </w:r>
      <w:r>
        <w:rPr>
          <w:rFonts w:hint="eastAsia" w:ascii="宋体" w:hAnsi="宋体" w:eastAsia="宋体" w:cs="宋体"/>
          <w:color w:val="auto"/>
          <w:highlight w:val="none"/>
        </w:rPr>
        <w:t>根据产品特性，由乙方在保证产品质量的前提下，自行选择运输及包装方式，发生的一切费用全部由乙方承担。</w:t>
      </w:r>
    </w:p>
    <w:p w14:paraId="5D452F2C">
      <w:pPr>
        <w:adjustRightInd w:val="0"/>
        <w:snapToGrid w:val="0"/>
        <w:spacing w:line="440" w:lineRule="exact"/>
        <w:ind w:firstLine="482" w:firstLineChars="20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六、质量保证</w:t>
      </w:r>
    </w:p>
    <w:p w14:paraId="5558FFF3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1、乙方保证所有产品全部符合国家及行业强制性标准；</w:t>
      </w:r>
    </w:p>
    <w:p w14:paraId="1B34F8C5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2、乙方保证所提供的产品质量可靠，进货渠道正常，配置合理，技术性能完全满足招标文件要求；</w:t>
      </w:r>
    </w:p>
    <w:p w14:paraId="3B85D940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若产品所用原材料或加工工艺造成的质量和内外观缺陷问题，由乙方负责解决并承担费用。（乙方保证货物是全新的、未曾使用过的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7FD8A968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4、产品性能未达到技术要求的，乙方限期内进行整改；整改仍达不到要求的，甲方有权解除合同，保留依法索赔的权利。</w:t>
      </w:r>
    </w:p>
    <w:p w14:paraId="4283C4CD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5、质保期内若发生产品质量问题，乙方应立即免费解决；否则，甲方有权从剩余合同款中支付相关费用。</w:t>
      </w:r>
    </w:p>
    <w:p w14:paraId="784CD4F7">
      <w:pPr>
        <w:adjustRightInd w:val="0"/>
        <w:snapToGrid w:val="0"/>
        <w:spacing w:line="440" w:lineRule="exact"/>
        <w:ind w:firstLine="359" w:firstLineChars="149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七、安装、调试及技术服务</w:t>
      </w:r>
    </w:p>
    <w:p w14:paraId="37C796F4">
      <w:pPr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1、技术资料包括：出厂检测报告、产品使用说明书、合格证等其它相关资料。</w:t>
      </w:r>
    </w:p>
    <w:p w14:paraId="3E27BBF1">
      <w:pPr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质保期内免费维护，并免费提供备品、备件，更换故障部件、产品等，乙方在接到用户对所购产品进行维修的要求后，及时到用户现场进行维修服务，全部费用由乙方支付，若需将产品送回生产厂，由乙方支付维修产品所需的往返费用。</w:t>
      </w:r>
    </w:p>
    <w:p w14:paraId="246BB9CF">
      <w:pPr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3、乙方保证产品完全按招标要求提供，若达不到要求，乙方须及时跟甲方沟通协商更换产品，并按照再次验收合格时间相应延长该产品保修期。</w:t>
      </w:r>
    </w:p>
    <w:p w14:paraId="53E4A969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4、服务承诺：按投标文件中的服务承诺执行。</w:t>
      </w:r>
    </w:p>
    <w:p w14:paraId="1C235136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5、乙方人员在安装调试过程中出现的安全责任问题由乙方全权负责。</w:t>
      </w:r>
    </w:p>
    <w:p w14:paraId="75C74C71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6、设备安装调试结束后，安排技术人员进行培训，达到操作熟练程度。</w:t>
      </w:r>
    </w:p>
    <w:p w14:paraId="7BAA62E0">
      <w:pPr>
        <w:adjustRightInd w:val="0"/>
        <w:snapToGrid w:val="0"/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八、产品包装及环保要求</w:t>
      </w:r>
    </w:p>
    <w:p w14:paraId="4C39F96D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本项目标的产品如需要包装或快递的，乙方须严格按照“关于印发《商品包装政府采购需求标准（试行）》、 《快递包装政府采购需求标准（试行）》的通知（财办库〔2020〕123号）”规定执行。</w:t>
      </w:r>
    </w:p>
    <w:p w14:paraId="303D3F23">
      <w:pPr>
        <w:tabs>
          <w:tab w:val="left" w:pos="5355"/>
        </w:tabs>
        <w:spacing w:line="440" w:lineRule="exact"/>
        <w:ind w:firstLine="506" w:firstLineChars="21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九、违约责任：</w:t>
      </w:r>
    </w:p>
    <w:p w14:paraId="78D2DE04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1、按《中华人民共和国民法典》中的相关条款执行。</w:t>
      </w:r>
    </w:p>
    <w:p w14:paraId="23D101BF">
      <w:pPr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未按合同要求提供产品或产品质量不能满足合同约定的技术要求，甲方有权终止合同，乙方须无条件全额退回甲方已付给乙方的货款，并向甲方支付合同总价款百分之十的违约金。并保留追究乙方违约责任的权利。</w:t>
      </w:r>
    </w:p>
    <w:p w14:paraId="58836A3B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3、乙方交货或甲方付款时间迟延的，违约方按照每天1%向对方承担违约责任，延迟30天以上，甲方有权解除合同。产品质量问题违约的，除了按照迟延时间计算违约金外，另可以采取退货、换货等方式，由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highlight w:val="none"/>
        </w:rPr>
        <w:t>承担一切费用。</w:t>
      </w:r>
    </w:p>
    <w:p w14:paraId="1C667039">
      <w:pPr>
        <w:spacing w:line="440" w:lineRule="exact"/>
        <w:ind w:firstLine="532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十、产品验收</w:t>
      </w:r>
    </w:p>
    <w:p w14:paraId="4C32FFE9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snapToGrid w:val="0"/>
          <w:kern w:val="0"/>
        </w:rPr>
      </w:pPr>
      <w:r>
        <w:rPr>
          <w:rFonts w:hint="eastAsia" w:ascii="宋体" w:hAnsi="宋体" w:eastAsia="宋体" w:cs="宋体"/>
          <w:snapToGrid w:val="0"/>
          <w:kern w:val="0"/>
        </w:rPr>
        <w:t>1、验收</w:t>
      </w:r>
      <w:r>
        <w:rPr>
          <w:rFonts w:hint="eastAsia" w:ascii="宋体" w:hAnsi="宋体" w:eastAsia="宋体" w:cs="宋体"/>
          <w:snapToGrid w:val="0"/>
          <w:color w:val="auto"/>
          <w:kern w:val="0"/>
        </w:rPr>
        <w:t>由甲</w:t>
      </w:r>
      <w:r>
        <w:rPr>
          <w:rFonts w:hint="eastAsia" w:ascii="宋体" w:hAnsi="宋体" w:eastAsia="宋体" w:cs="宋体"/>
          <w:snapToGrid w:val="0"/>
          <w:color w:val="auto"/>
          <w:kern w:val="0"/>
          <w:lang w:eastAsia="zh-CN"/>
        </w:rPr>
        <w:t>、乙双</w:t>
      </w:r>
      <w:r>
        <w:rPr>
          <w:rFonts w:hint="eastAsia" w:ascii="宋体" w:hAnsi="宋体" w:eastAsia="宋体" w:cs="宋体"/>
          <w:snapToGrid w:val="0"/>
          <w:color w:val="auto"/>
          <w:kern w:val="0"/>
        </w:rPr>
        <w:t>方相</w:t>
      </w:r>
      <w:r>
        <w:rPr>
          <w:rFonts w:hint="eastAsia" w:ascii="宋体" w:hAnsi="宋体" w:eastAsia="宋体" w:cs="宋体"/>
          <w:snapToGrid w:val="0"/>
          <w:kern w:val="0"/>
        </w:rPr>
        <w:t>关人员组成的验收小组负责。</w:t>
      </w:r>
    </w:p>
    <w:p w14:paraId="1483B011">
      <w:pPr>
        <w:spacing w:line="440" w:lineRule="exac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napToGrid w:val="0"/>
          <w:kern w:val="0"/>
        </w:rPr>
        <w:t>2、乙方</w:t>
      </w:r>
      <w:r>
        <w:rPr>
          <w:rFonts w:hint="eastAsia" w:ascii="宋体" w:hAnsi="宋体" w:eastAsia="宋体" w:cs="宋体"/>
        </w:rPr>
        <w:t>安装调试完成后应提供详细的安装报告，并详细记录各种</w:t>
      </w:r>
      <w:bookmarkStart w:id="0" w:name="OLE_LINK4"/>
      <w:bookmarkStart w:id="1" w:name="OLE_LINK3"/>
      <w:r>
        <w:rPr>
          <w:rFonts w:hint="eastAsia" w:ascii="宋体" w:hAnsi="宋体" w:eastAsia="宋体" w:cs="宋体"/>
        </w:rPr>
        <w:t>指示</w:t>
      </w:r>
      <w:bookmarkEnd w:id="0"/>
      <w:bookmarkEnd w:id="1"/>
      <w:r>
        <w:rPr>
          <w:rFonts w:hint="eastAsia" w:ascii="宋体" w:hAnsi="宋体" w:eastAsia="宋体" w:cs="宋体"/>
        </w:rPr>
        <w:t>的实测数据</w:t>
      </w:r>
      <w:r>
        <w:rPr>
          <w:rFonts w:hint="eastAsia" w:ascii="宋体" w:hAnsi="宋体" w:eastAsia="宋体" w:cs="宋体"/>
          <w:snapToGrid w:val="0"/>
          <w:kern w:val="0"/>
        </w:rPr>
        <w:t>，</w:t>
      </w:r>
      <w:r>
        <w:rPr>
          <w:rFonts w:hint="eastAsia" w:ascii="宋体" w:hAnsi="宋体" w:eastAsia="宋体" w:cs="宋体"/>
        </w:rPr>
        <w:t>验收内容为审查验收安装及测试报告，现场查看产品使用情况。验收合格后，使用单位填写产品验收单。</w:t>
      </w:r>
    </w:p>
    <w:p w14:paraId="6B857D7C">
      <w:pPr>
        <w:spacing w:line="440" w:lineRule="exac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.1乙方提供完整的操作手册和安装、调试、维修手册；提供制造厂家的检验测试报告或产品出厂检测报告。</w:t>
      </w:r>
    </w:p>
    <w:p w14:paraId="7D95D8E4">
      <w:pPr>
        <w:widowControl/>
        <w:ind w:firstLine="480" w:firstLineChars="20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.2甲方根据合同要求对产品进行验收、确认产品的产地、规格、型号和数量。验收依据为本合同文本、</w:t>
      </w:r>
      <w:r>
        <w:rPr>
          <w:rFonts w:hint="eastAsia" w:ascii="宋体" w:hAnsi="宋体" w:eastAsia="宋体" w:cs="宋体"/>
          <w:color w:val="000000"/>
          <w:kern w:val="0"/>
          <w:lang w:bidi="ar"/>
        </w:rPr>
        <w:t>投标文件</w:t>
      </w:r>
      <w:r>
        <w:rPr>
          <w:rFonts w:hint="eastAsia" w:ascii="宋体" w:hAnsi="宋体" w:eastAsia="宋体" w:cs="宋体"/>
        </w:rPr>
        <w:t>和国内相应的标准、规范。</w:t>
      </w:r>
    </w:p>
    <w:p w14:paraId="7CDEB9ED">
      <w:pPr>
        <w:spacing w:line="440" w:lineRule="exac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、</w:t>
      </w:r>
      <w:bookmarkStart w:id="2" w:name="OLE_LINK5"/>
      <w:bookmarkStart w:id="3" w:name="OLE_LINK7"/>
      <w:bookmarkStart w:id="4" w:name="OLE_LINK6"/>
      <w:r>
        <w:rPr>
          <w:rFonts w:hint="eastAsia" w:ascii="宋体" w:hAnsi="宋体" w:eastAsia="宋体" w:cs="宋体"/>
        </w:rPr>
        <w:t>验收合格后，填写产品验收单</w:t>
      </w:r>
      <w:bookmarkEnd w:id="2"/>
      <w:bookmarkEnd w:id="3"/>
      <w:bookmarkEnd w:id="4"/>
      <w:r>
        <w:rPr>
          <w:rFonts w:hint="eastAsia" w:ascii="宋体" w:hAnsi="宋体" w:eastAsia="宋体" w:cs="宋体"/>
        </w:rPr>
        <w:t>，并向甲方提交产品所包含的所有资料，以便使用单位日后管理和维护。</w:t>
      </w:r>
    </w:p>
    <w:p w14:paraId="38111A64">
      <w:pPr>
        <w:spacing w:line="440" w:lineRule="exac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、在交割以前产品所发生的一切损失及费用由乙方承担。性能达到技术要求的，验收通过；验收不合格的，限期整改；整改仍达不到要求的，按本合同第九条第2款处理。</w:t>
      </w:r>
    </w:p>
    <w:p w14:paraId="08F2C79A">
      <w:pPr>
        <w:spacing w:line="440" w:lineRule="exac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、如因货物的质量问题发生争议，由甲方属地技术质量监督部门进行质量鉴定；货物符合质量标准的，鉴定费由甲方承担；货物不符合质量标准的，鉴定费由乙方承担。</w:t>
      </w:r>
    </w:p>
    <w:p w14:paraId="6538CE3A">
      <w:pPr>
        <w:tabs>
          <w:tab w:val="left" w:pos="5355"/>
        </w:tabs>
        <w:spacing w:line="440" w:lineRule="exact"/>
        <w:ind w:firstLine="48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十一、合同争议的解决</w:t>
      </w:r>
    </w:p>
    <w:p w14:paraId="13637046">
      <w:pPr>
        <w:tabs>
          <w:tab w:val="left" w:pos="5355"/>
        </w:tabs>
        <w:spacing w:line="440" w:lineRule="exact"/>
        <w:ind w:firstLine="480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合同一经签订，不得随意变更、中止或终止。对确需变更、调整或者中止、终止合同的，应按规定履行相应的手续。</w:t>
      </w:r>
    </w:p>
    <w:p w14:paraId="3D0CE1E6">
      <w:pPr>
        <w:tabs>
          <w:tab w:val="left" w:pos="5355"/>
        </w:tabs>
        <w:spacing w:line="440" w:lineRule="exac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合同执行中发生争议的，甲、乙双方应协商解决，协商达不成一致时，可向甲方所在地人民法院提起诉讼。</w:t>
      </w:r>
    </w:p>
    <w:p w14:paraId="79282AEE">
      <w:pPr>
        <w:tabs>
          <w:tab w:val="left" w:pos="5355"/>
        </w:tabs>
        <w:spacing w:line="440" w:lineRule="exact"/>
        <w:ind w:firstLine="48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十二、其它事项</w:t>
      </w:r>
    </w:p>
    <w:p w14:paraId="305D13EE">
      <w:pPr>
        <w:adjustRightInd w:val="0"/>
        <w:snapToGrid w:val="0"/>
        <w:spacing w:line="440" w:lineRule="exact"/>
        <w:ind w:firstLine="600" w:firstLineChars="25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1、甲、乙双方做为合同执行的主体，有义务及时完全履行合同。</w:t>
      </w:r>
    </w:p>
    <w:p w14:paraId="7266E33D">
      <w:pPr>
        <w:adjustRightInd w:val="0"/>
        <w:snapToGrid w:val="0"/>
        <w:spacing w:line="440" w:lineRule="exact"/>
        <w:ind w:firstLine="600" w:firstLineChars="25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2、甲方使用部门代表签署合同，并随时监督合同履行情况。</w:t>
      </w:r>
    </w:p>
    <w:p w14:paraId="0EDA726B">
      <w:pPr>
        <w:adjustRightInd w:val="0"/>
        <w:snapToGrid w:val="0"/>
        <w:spacing w:line="440" w:lineRule="exact"/>
        <w:ind w:firstLine="600" w:firstLineChars="25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3、合同未尽事宜，由甲、乙双方协商，协商方案作为本合同不可分割的组成部分，与本合同具有同等法律效力。</w:t>
      </w:r>
    </w:p>
    <w:p w14:paraId="487806A9">
      <w:pPr>
        <w:adjustRightInd w:val="0"/>
        <w:snapToGrid w:val="0"/>
        <w:spacing w:line="440" w:lineRule="exact"/>
        <w:ind w:firstLine="600" w:firstLineChars="25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4、招标文件和乙方的投标文件以及合同附件均为合同不可分割的部分。</w:t>
      </w:r>
    </w:p>
    <w:p w14:paraId="64BCA649">
      <w:pPr>
        <w:adjustRightInd w:val="0"/>
        <w:snapToGrid w:val="0"/>
        <w:spacing w:line="440" w:lineRule="exact"/>
        <w:ind w:firstLine="600" w:firstLineChars="25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5、合同一式陆份，甲方持肆份、乙方执壹份，招标代理机构壹份。双方签字盖章后生效，合同执行完毕自动失效。（合同的服务承诺长期有效）。</w:t>
      </w:r>
    </w:p>
    <w:p w14:paraId="3C5EBC3C">
      <w:pPr>
        <w:adjustRightInd w:val="0"/>
        <w:snapToGrid w:val="0"/>
        <w:spacing w:line="440" w:lineRule="exact"/>
        <w:ind w:firstLine="600" w:firstLineChars="2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6、使用单位收货、验货人员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：电话：_______________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　</w:t>
      </w:r>
    </w:p>
    <w:p w14:paraId="1EF8DDC4">
      <w:pPr>
        <w:pStyle w:val="2"/>
        <w:rPr>
          <w:rFonts w:hint="eastAsia" w:ascii="宋体" w:hAnsi="宋体" w:eastAsia="宋体" w:cs="宋体"/>
        </w:rPr>
      </w:pPr>
    </w:p>
    <w:p w14:paraId="6E449A7F">
      <w:pPr>
        <w:pStyle w:val="2"/>
        <w:rPr>
          <w:rFonts w:hint="eastAsia" w:ascii="宋体" w:hAnsi="宋体" w:eastAsia="宋体" w:cs="宋体"/>
        </w:rPr>
      </w:pPr>
    </w:p>
    <w:p w14:paraId="05B81634">
      <w:pPr>
        <w:pStyle w:val="2"/>
        <w:ind w:left="0" w:leftChars="0" w:firstLine="0" w:firstLineChars="0"/>
        <w:rPr>
          <w:rFonts w:hint="eastAsia" w:ascii="宋体" w:hAnsi="宋体" w:eastAsia="宋体" w:cs="宋体"/>
        </w:rPr>
      </w:pPr>
    </w:p>
    <w:tbl>
      <w:tblPr>
        <w:tblStyle w:val="5"/>
        <w:tblpPr w:leftFromText="180" w:rightFromText="180" w:vertAnchor="text" w:horzAnchor="page" w:tblpXSpec="center" w:tblpY="147"/>
        <w:tblOverlap w:val="never"/>
        <w:tblW w:w="508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  <w:gridCol w:w="4537"/>
      </w:tblGrid>
      <w:tr w14:paraId="54058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59F679CF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甲方（买方）：</w:t>
            </w:r>
          </w:p>
        </w:tc>
        <w:tc>
          <w:tcPr>
            <w:tcW w:w="2591" w:type="pct"/>
            <w:noWrap/>
            <w:vAlign w:val="center"/>
          </w:tcPr>
          <w:p w14:paraId="53DD7B09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乙方（卖方）：</w:t>
            </w:r>
          </w:p>
        </w:tc>
      </w:tr>
      <w:tr w14:paraId="0AD1D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1CDD1F16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　址：</w:t>
            </w:r>
          </w:p>
        </w:tc>
        <w:tc>
          <w:tcPr>
            <w:tcW w:w="2591" w:type="pct"/>
            <w:noWrap/>
            <w:vAlign w:val="center"/>
          </w:tcPr>
          <w:p w14:paraId="7E456CF8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　址：</w:t>
            </w:r>
          </w:p>
        </w:tc>
      </w:tr>
      <w:tr w14:paraId="6BBC2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6BCAEF08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授权代理人：　</w:t>
            </w:r>
          </w:p>
        </w:tc>
        <w:tc>
          <w:tcPr>
            <w:tcW w:w="2591" w:type="pct"/>
            <w:noWrap/>
            <w:vAlign w:val="center"/>
          </w:tcPr>
          <w:p w14:paraId="26D41355">
            <w:pPr>
              <w:tabs>
                <w:tab w:val="left" w:pos="5355"/>
              </w:tabs>
              <w:spacing w:line="50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授权代理人</w:t>
            </w:r>
          </w:p>
        </w:tc>
      </w:tr>
      <w:tr w14:paraId="2E828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2ADF1595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联系电话：</w:t>
            </w:r>
          </w:p>
        </w:tc>
        <w:tc>
          <w:tcPr>
            <w:tcW w:w="2591" w:type="pct"/>
            <w:noWrap/>
            <w:vAlign w:val="center"/>
          </w:tcPr>
          <w:p w14:paraId="47B40E80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联系电话：</w:t>
            </w:r>
          </w:p>
        </w:tc>
      </w:tr>
      <w:tr w14:paraId="066F6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45D96FDE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开户行：</w:t>
            </w:r>
          </w:p>
        </w:tc>
        <w:tc>
          <w:tcPr>
            <w:tcW w:w="2591" w:type="pct"/>
            <w:noWrap/>
            <w:vAlign w:val="center"/>
          </w:tcPr>
          <w:p w14:paraId="60D2B5DD">
            <w:pPr>
              <w:tabs>
                <w:tab w:val="left" w:pos="5355"/>
              </w:tabs>
              <w:spacing w:line="50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开户行：</w:t>
            </w:r>
          </w:p>
        </w:tc>
      </w:tr>
      <w:tr w14:paraId="1781C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15500DC3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账号：</w:t>
            </w:r>
          </w:p>
        </w:tc>
        <w:tc>
          <w:tcPr>
            <w:tcW w:w="2591" w:type="pct"/>
            <w:noWrap/>
            <w:vAlign w:val="center"/>
          </w:tcPr>
          <w:p w14:paraId="08CA26EB">
            <w:pPr>
              <w:tabs>
                <w:tab w:val="left" w:pos="5355"/>
              </w:tabs>
              <w:spacing w:line="50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账号：</w:t>
            </w:r>
          </w:p>
        </w:tc>
      </w:tr>
      <w:tr w14:paraId="29804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17F2D454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>年  月   日</w:t>
            </w:r>
          </w:p>
        </w:tc>
        <w:tc>
          <w:tcPr>
            <w:tcW w:w="2591" w:type="pct"/>
            <w:noWrap/>
            <w:vAlign w:val="center"/>
          </w:tcPr>
          <w:p w14:paraId="601D5021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日期：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>年  月  日</w:t>
            </w:r>
          </w:p>
        </w:tc>
      </w:tr>
    </w:tbl>
    <w:p w14:paraId="2B924BD9">
      <w:pPr>
        <w:snapToGrid w:val="0"/>
        <w:ind w:firstLine="420" w:firstLineChars="200"/>
        <w:rPr>
          <w:rFonts w:ascii="宋体" w:hAnsi="宋体" w:eastAsia="宋体" w:cs="宋体"/>
          <w:sz w:val="21"/>
          <w:szCs w:val="21"/>
        </w:rPr>
      </w:pPr>
    </w:p>
    <w:p w14:paraId="582FDB0D">
      <w:pPr>
        <w:snapToGrid w:val="0"/>
        <w:ind w:firstLine="420" w:firstLineChars="200"/>
        <w:rPr>
          <w:rFonts w:ascii="宋体" w:hAnsi="宋体" w:eastAsia="宋体" w:cs="宋体"/>
          <w:sz w:val="21"/>
          <w:szCs w:val="21"/>
        </w:rPr>
      </w:pPr>
    </w:p>
    <w:p w14:paraId="21705BBA"/>
    <w:p w14:paraId="23D340EB"/>
    <w:p w14:paraId="6E719469">
      <w:pPr>
        <w:pStyle w:val="2"/>
      </w:pPr>
    </w:p>
    <w:sectPr>
      <w:footerReference r:id="rId5" w:type="default"/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4597363"/>
      <w:docPartObj>
        <w:docPartGallery w:val="autotext"/>
      </w:docPartObj>
    </w:sdtPr>
    <w:sdtContent>
      <w:p w14:paraId="5F2D6F66"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699A9A49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E1EE8"/>
    <w:rsid w:val="136C6BDF"/>
    <w:rsid w:val="161C0D90"/>
    <w:rsid w:val="1C466EEF"/>
    <w:rsid w:val="216F6ECA"/>
    <w:rsid w:val="217D030F"/>
    <w:rsid w:val="23FA3D93"/>
    <w:rsid w:val="27360885"/>
    <w:rsid w:val="2EF01665"/>
    <w:rsid w:val="2F740E9D"/>
    <w:rsid w:val="2FB1116B"/>
    <w:rsid w:val="31D367ED"/>
    <w:rsid w:val="32562ADC"/>
    <w:rsid w:val="449000D0"/>
    <w:rsid w:val="4DF23BA9"/>
    <w:rsid w:val="4E241889"/>
    <w:rsid w:val="507A1A0D"/>
    <w:rsid w:val="54EE750F"/>
    <w:rsid w:val="59C36E2A"/>
    <w:rsid w:val="5A3B32E9"/>
    <w:rsid w:val="5A667ADA"/>
    <w:rsid w:val="5BCF1086"/>
    <w:rsid w:val="60123380"/>
    <w:rsid w:val="618535EF"/>
    <w:rsid w:val="61A8462B"/>
    <w:rsid w:val="7156797C"/>
    <w:rsid w:val="78044C6A"/>
    <w:rsid w:val="7B9E7C41"/>
    <w:rsid w:val="7D16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sz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customStyle="1" w:styleId="7">
    <w:name w:val="正文文字"/>
    <w:next w:val="1"/>
    <w:autoRedefine/>
    <w:qFormat/>
    <w:uiPriority w:val="0"/>
    <w:pPr>
      <w:adjustRightInd w:val="0"/>
      <w:snapToGrid w:val="0"/>
      <w:spacing w:after="120" w:line="600" w:lineRule="exact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9">
    <w:name w:val="font41"/>
    <w:basedOn w:val="6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10">
    <w:name w:val="font51"/>
    <w:basedOn w:val="6"/>
    <w:autoRedefine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2328</Words>
  <Characters>2357</Characters>
  <Lines>0</Lines>
  <Paragraphs>0</Paragraphs>
  <TotalTime>0</TotalTime>
  <ScaleCrop>false</ScaleCrop>
  <LinksUpToDate>false</LinksUpToDate>
  <CharactersWithSpaces>2596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2024-11-22T09:09:00Z</dcterms:created>
  <dc:creator>lenovo</dc:creator>
  <cp:lastModifiedBy>丫丫</cp:lastModifiedBy>
  <dcterms:modified xsi:type="dcterms:W3CDTF">2025-05-28T15:38:16Z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A2A3B2135E704BCA983A4274F0B0E0A6_13</vt:lpwstr>
  </property>
  <property fmtid="{D5CDD505-2E9C-101B-9397-08002B2CF9AE}" pid="4" name="KSOTemplateDocerSaveRecord">
    <vt:lpwstr>eyJoZGlkIjoiOThhNGE5NmJiZWMxNzNmOTlmMzU2MTQ1NTljMGJiMzEiLCJ1c2VySWQiOiIzNjM0MjkxMTkifQ==</vt:lpwstr>
  </property>
</Properties>
</file>