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版本号：SXXH2025-016.1B120250625001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四个演出团控制系统采购更新和舞台机械控制系统更新改造项目(二次)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SXXH2025-016.1B1</w:t>
      </w:r>
      <w:r>
        <w:br/>
      </w:r>
      <w:r>
        <w:br/>
      </w:r>
      <w:r>
        <w:br/>
      </w:r>
    </w:p>
    <w:p>
      <w:pPr>
        <w:pStyle w:val="null3"/>
        <w:jc w:val="center"/>
        <w:outlineLvl w:val="2"/>
      </w:pPr>
      <w:r>
        <w:rPr>
          <w:rFonts w:ascii="仿宋_GB2312" w:hAnsi="仿宋_GB2312" w:cs="仿宋_GB2312" w:eastAsia="仿宋_GB2312"/>
          <w:sz w:val="28"/>
          <w:b/>
        </w:rPr>
        <w:t>陕西省戏曲研究院</w:t>
      </w:r>
    </w:p>
    <w:p>
      <w:pPr>
        <w:pStyle w:val="null3"/>
        <w:jc w:val="center"/>
        <w:outlineLvl w:val="2"/>
      </w:pPr>
      <w:r>
        <w:rPr>
          <w:rFonts w:ascii="仿宋_GB2312" w:hAnsi="仿宋_GB2312" w:cs="仿宋_GB2312" w:eastAsia="仿宋_GB2312"/>
          <w:sz w:val="28"/>
          <w:b/>
        </w:rPr>
        <w:t>陕西鑫合项目管理有限责任公司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陕西鑫合项目管理有限责任公司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陕西省戏曲研究院</w:t>
      </w:r>
      <w:r>
        <w:rPr>
          <w:rFonts w:ascii="仿宋_GB2312" w:hAnsi="仿宋_GB2312" w:cs="仿宋_GB2312" w:eastAsia="仿宋_GB2312"/>
        </w:rPr>
        <w:t>委托，拟对</w:t>
      </w:r>
      <w:r>
        <w:rPr>
          <w:rFonts w:ascii="仿宋_GB2312" w:hAnsi="仿宋_GB2312" w:cs="仿宋_GB2312" w:eastAsia="仿宋_GB2312"/>
        </w:rPr>
        <w:t>四个演出团控制系统采购更新和舞台机械控制系统更新改造项目(二次)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SXXH2025-016.1B1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四个演出团控制系统采购更新和舞台机械控制系统更新改造项目(二次)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陕西省戏曲研究院四个演出团控制系统采购更新和舞台机械控制系统更新改造项目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采购包1（四个演出团控制系统采购更新项目）：属于专门面向中小企业采购。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中华人民共和国政府采购法》第二十二条规定的条件：提供合格有效的法人或者其他组织的营业执照等证明文件，自然人的身份证明；投标人是法人或其他组织的应提供营业执照等证明文件，投标人是自然人的应提供有效的自然人身份证明；</w:t>
      </w:r>
    </w:p>
    <w:p>
      <w:pPr>
        <w:pStyle w:val="null3"/>
      </w:pPr>
      <w:r>
        <w:rPr>
          <w:rFonts w:ascii="仿宋_GB2312" w:hAnsi="仿宋_GB2312" w:cs="仿宋_GB2312" w:eastAsia="仿宋_GB2312"/>
        </w:rPr>
        <w:t>2、供应商应具备《中华人民共和国政府采购法》第二十二条规定的条件：提供财务状况报告（二选一）：①供应商提供2023年度或2024年度经会计事务所或审计机构审计的完整的财务审计报告（成立时间至提供响应文件截止时间不足一年的可提供成立后任意时段的资产负债表）；②在投标截止时间前六个月内其开户银行出具的资信证明（附开户许可证或基本账户存款信息）</w:t>
      </w:r>
    </w:p>
    <w:p>
      <w:pPr>
        <w:pStyle w:val="null3"/>
      </w:pPr>
      <w:r>
        <w:rPr>
          <w:rFonts w:ascii="仿宋_GB2312" w:hAnsi="仿宋_GB2312" w:cs="仿宋_GB2312" w:eastAsia="仿宋_GB2312"/>
        </w:rPr>
        <w:t>3、供应商应具备《中华人民共和国政府采购法》第二十二条规定的条件：提供投标截止日前一年内已缴纳的至少一个月的纳税证明或完税证明，依法免税的或零申报的单位应提供相关证明材料</w:t>
      </w:r>
    </w:p>
    <w:p>
      <w:pPr>
        <w:pStyle w:val="null3"/>
      </w:pPr>
      <w:r>
        <w:rPr>
          <w:rFonts w:ascii="仿宋_GB2312" w:hAnsi="仿宋_GB2312" w:cs="仿宋_GB2312" w:eastAsia="仿宋_GB2312"/>
        </w:rPr>
        <w:t>4、供应商应具备《中华人民共和国政府采购法》第二十二条规定的条件：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5、供应商应具备《中华人民共和国政府采购法》第二十二条规定的条件：提供具有履行合同所必需的设备和专业技术能力的承诺</w:t>
      </w:r>
    </w:p>
    <w:p>
      <w:pPr>
        <w:pStyle w:val="null3"/>
      </w:pPr>
      <w:r>
        <w:rPr>
          <w:rFonts w:ascii="仿宋_GB2312" w:hAnsi="仿宋_GB2312" w:cs="仿宋_GB2312" w:eastAsia="仿宋_GB2312"/>
        </w:rPr>
        <w:t>6、供应商应具备《中华人民共和国政府采购法》第二十二条规定的条件：参加政府采购活动前3年内，在经营活动中没有重大违法记录的书面声明</w:t>
      </w:r>
    </w:p>
    <w:p>
      <w:pPr>
        <w:pStyle w:val="null3"/>
      </w:pPr>
      <w:r>
        <w:rPr>
          <w:rFonts w:ascii="仿宋_GB2312" w:hAnsi="仿宋_GB2312" w:cs="仿宋_GB2312" w:eastAsia="仿宋_GB2312"/>
        </w:rPr>
        <w:t>7、法定代表人身份证明或法定代表人授权书：法定代表人授权书及被授权人身份证；（附法定代表人、被授权人身份证复印件），法定代表人直接参加投标，须提供法定代表人身份证明及身份证复印件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8、信用证明：未被信用中国网站列入失信被执行人和重大税收违法案件当事人名单、未被中国政府采购网列入政府采购严重违法失信行为记录名单（开标后系统查询）。</w:t>
      </w:r>
    </w:p>
    <w:p>
      <w:pPr>
        <w:pStyle w:val="null3"/>
      </w:pPr>
      <w:r>
        <w:rPr>
          <w:rFonts w:ascii="仿宋_GB2312" w:hAnsi="仿宋_GB2312" w:cs="仿宋_GB2312" w:eastAsia="仿宋_GB2312"/>
        </w:rPr>
        <w:t>9、联合体形式：不接受联合体投标，提供非联合体书面声明。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陕西省戏曲研究院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文艺北路133号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陕西省戏曲研究院经办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87863464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陕西鑫合项目管理有限责任公司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西安经济技术开发区未央路16号赛高国际1幢2单元25楼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15389186118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开户名称：陕西鑫合项目管理有限责任公司</w:t>
            </w:r>
          </w:p>
          <w:p>
            <w:pPr>
              <w:pStyle w:val="null3"/>
            </w:pPr>
            <w:r>
              <w:rPr>
                <w:rFonts w:ascii="仿宋_GB2312" w:hAnsi="仿宋_GB2312" w:cs="仿宋_GB2312" w:eastAsia="仿宋_GB2312"/>
              </w:rPr>
              <w:t>开户银行：中国银行股份有限公司西安经济技术开发区支行</w:t>
            </w:r>
          </w:p>
          <w:p>
            <w:pPr>
              <w:pStyle w:val="null3"/>
            </w:pPr>
            <w:r>
              <w:rPr>
                <w:rFonts w:ascii="仿宋_GB2312" w:hAnsi="仿宋_GB2312" w:cs="仿宋_GB2312" w:eastAsia="仿宋_GB2312"/>
              </w:rPr>
              <w:t>银行账号：103249166702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陕西省戏曲研究院</w:t>
      </w:r>
      <w:r>
        <w:rPr>
          <w:rFonts w:ascii="仿宋_GB2312" w:hAnsi="仿宋_GB2312" w:cs="仿宋_GB2312" w:eastAsia="仿宋_GB2312"/>
        </w:rPr>
        <w:t>和</w:t>
      </w:r>
      <w:r>
        <w:rPr>
          <w:rFonts w:ascii="仿宋_GB2312" w:hAnsi="仿宋_GB2312" w:cs="仿宋_GB2312" w:eastAsia="仿宋_GB2312"/>
        </w:rPr>
        <w:t>陕西鑫合项目管理有限责任公司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陕西省戏曲研究院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陕西鑫合项目管理有限责任公司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陕西省戏曲研究院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陕西鑫合项目管理有限责任公司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陕西鑫合项目管理有限责任公司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陕西鑫合项目管理有限责任公司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陕西鑫合项目管理有限责任公司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联系人：崔工</w:t>
      </w:r>
    </w:p>
    <w:p>
      <w:pPr>
        <w:pStyle w:val="null3"/>
      </w:pPr>
      <w:r>
        <w:rPr>
          <w:rFonts w:ascii="仿宋_GB2312" w:hAnsi="仿宋_GB2312" w:cs="仿宋_GB2312" w:eastAsia="仿宋_GB2312"/>
        </w:rPr>
        <w:t>联系电话：15389186118</w:t>
      </w:r>
    </w:p>
    <w:p>
      <w:pPr>
        <w:pStyle w:val="null3"/>
      </w:pPr>
      <w:r>
        <w:rPr>
          <w:rFonts w:ascii="仿宋_GB2312" w:hAnsi="仿宋_GB2312" w:cs="仿宋_GB2312" w:eastAsia="仿宋_GB2312"/>
        </w:rPr>
        <w:t>地址：西安经济技术开发区未央路16号赛高国际1幢2单元25楼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四个演出团控制系统采购更新和舞台机械控制系统更新改造项目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1,418,000.00</w:t>
      </w:r>
    </w:p>
    <w:p>
      <w:pPr>
        <w:pStyle w:val="null3"/>
      </w:pPr>
      <w:r>
        <w:rPr>
          <w:rFonts w:ascii="仿宋_GB2312" w:hAnsi="仿宋_GB2312" w:cs="仿宋_GB2312" w:eastAsia="仿宋_GB2312"/>
        </w:rPr>
        <w:t>采购包最高限价（元）: 1,418,000.00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401"/>
              <w:gridCol w:w="1662"/>
              <w:gridCol w:w="169"/>
              <w:gridCol w:w="159"/>
            </w:tblGrid>
            <w:tr>
              <w:tc>
                <w:tcPr>
                  <w:tcW w:type="dxa" w:w="1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序号</w:t>
                  </w:r>
                </w:p>
              </w:tc>
              <w:tc>
                <w:tcPr>
                  <w:tcW w:type="dxa" w:w="4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类型</w:t>
                  </w:r>
                </w:p>
              </w:tc>
              <w:tc>
                <w:tcPr>
                  <w:tcW w:type="dxa" w:w="16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技术参数</w:t>
                  </w:r>
                </w:p>
              </w:tc>
              <w:tc>
                <w:tcPr>
                  <w:tcW w:type="dxa" w:w="1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数量</w:t>
                  </w:r>
                </w:p>
              </w:tc>
              <w:tc>
                <w:tcPr>
                  <w:tcW w:type="dxa" w:w="1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单位</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（核心产品）</w:t>
                  </w:r>
                  <w:r>
                    <w:rPr>
                      <w:rFonts w:ascii="仿宋_GB2312" w:hAnsi="仿宋_GB2312" w:cs="仿宋_GB2312" w:eastAsia="仿宋_GB2312"/>
                      <w:sz w:val="20"/>
                      <w:color w:val="000000"/>
                    </w:rPr>
                    <w:t>灯光数字控制台（</w:t>
                  </w:r>
                  <w:r>
                    <w:rPr>
                      <w:rFonts w:ascii="仿宋_GB2312" w:hAnsi="仿宋_GB2312" w:cs="仿宋_GB2312" w:eastAsia="仿宋_GB2312"/>
                      <w:sz w:val="20"/>
                      <w:color w:val="000000"/>
                    </w:rPr>
                    <w:t>5屏）</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1、支持RDM远程灯具管理；</w:t>
                  </w:r>
                  <w:r>
                    <w:br/>
                  </w:r>
                  <w:r>
                    <w:rPr>
                      <w:rFonts w:ascii="仿宋_GB2312" w:hAnsi="仿宋_GB2312" w:cs="仿宋_GB2312" w:eastAsia="仿宋_GB2312"/>
                      <w:sz w:val="20"/>
                      <w:color w:val="000000"/>
                    </w:rPr>
                    <w:t>2、内置不间断UPS电源；</w:t>
                  </w:r>
                  <w:r>
                    <w:br/>
                  </w:r>
                  <w:r>
                    <w:rPr>
                      <w:rFonts w:ascii="仿宋_GB2312" w:hAnsi="仿宋_GB2312" w:cs="仿宋_GB2312" w:eastAsia="仿宋_GB2312"/>
                      <w:sz w:val="20"/>
                      <w:color w:val="000000"/>
                    </w:rPr>
                    <w:t>▲3、2个≥17英寸触摸屏（支持翻转）+2个≥15英寸触摸屏+1个≥9英寸触摸屏；</w:t>
                  </w:r>
                  <w:r>
                    <w:br/>
                  </w:r>
                  <w:r>
                    <w:rPr>
                      <w:rFonts w:ascii="仿宋_GB2312" w:hAnsi="仿宋_GB2312" w:cs="仿宋_GB2312" w:eastAsia="仿宋_GB2312"/>
                      <w:sz w:val="20"/>
                      <w:color w:val="000000"/>
                    </w:rPr>
                    <w:t xml:space="preserve">4、≥15个执行推杆； </w:t>
                  </w:r>
                  <w:r>
                    <w:br/>
                  </w:r>
                  <w:r>
                    <w:rPr>
                      <w:rFonts w:ascii="仿宋_GB2312" w:hAnsi="仿宋_GB2312" w:cs="仿宋_GB2312" w:eastAsia="仿宋_GB2312"/>
                      <w:sz w:val="20"/>
                      <w:color w:val="000000"/>
                    </w:rPr>
                    <w:t>5、本身可处理≥16000参数；</w:t>
                  </w:r>
                  <w:r>
                    <w:br/>
                  </w:r>
                  <w:r>
                    <w:rPr>
                      <w:rFonts w:ascii="仿宋_GB2312" w:hAnsi="仿宋_GB2312" w:cs="仿宋_GB2312" w:eastAsia="仿宋_GB2312"/>
                      <w:sz w:val="20"/>
                      <w:color w:val="000000"/>
                    </w:rPr>
                    <w:t xml:space="preserve">6、具有≥8个DMX输入/输出口； </w:t>
                  </w:r>
                  <w:r>
                    <w:br/>
                  </w:r>
                  <w:r>
                    <w:rPr>
                      <w:rFonts w:ascii="仿宋_GB2312" w:hAnsi="仿宋_GB2312" w:cs="仿宋_GB2312" w:eastAsia="仿宋_GB2312"/>
                      <w:sz w:val="20"/>
                      <w:color w:val="000000"/>
                    </w:rPr>
                    <w:t>7、≥56个带RGB背光可调执行按键</w:t>
                  </w:r>
                  <w:r>
                    <w:br/>
                  </w:r>
                  <w:r>
                    <w:rPr>
                      <w:rFonts w:ascii="仿宋_GB2312" w:hAnsi="仿宋_GB2312" w:cs="仿宋_GB2312" w:eastAsia="仿宋_GB2312"/>
                      <w:sz w:val="20"/>
                      <w:color w:val="000000"/>
                    </w:rPr>
                    <w:t>8、具有带背光指示的指纹仪；</w:t>
                  </w:r>
                  <w:r>
                    <w:br/>
                  </w:r>
                  <w:r>
                    <w:rPr>
                      <w:rFonts w:ascii="仿宋_GB2312" w:hAnsi="仿宋_GB2312" w:cs="仿宋_GB2312" w:eastAsia="仿宋_GB2312"/>
                      <w:sz w:val="20"/>
                      <w:color w:val="000000"/>
                    </w:rPr>
                    <w:t>▲9、≥5个触摸带背光动效的双圈编码器</w:t>
                  </w:r>
                  <w:r>
                    <w:br/>
                  </w:r>
                  <w:r>
                    <w:rPr>
                      <w:rFonts w:ascii="仿宋_GB2312" w:hAnsi="仿宋_GB2312" w:cs="仿宋_GB2312" w:eastAsia="仿宋_GB2312"/>
                      <w:sz w:val="20"/>
                      <w:color w:val="000000"/>
                    </w:rPr>
                    <w:t>▲10、双拾音模块（语音识别控制）；</w:t>
                  </w:r>
                  <w:r>
                    <w:br/>
                  </w:r>
                  <w:r>
                    <w:rPr>
                      <w:rFonts w:ascii="仿宋_GB2312" w:hAnsi="仿宋_GB2312" w:cs="仿宋_GB2312" w:eastAsia="仿宋_GB2312"/>
                      <w:sz w:val="20"/>
                      <w:color w:val="000000"/>
                    </w:rPr>
                    <w:t>▲11、内置双摄像头（前+后），可以视线跟随+现场助手；</w:t>
                  </w:r>
                  <w:r>
                    <w:br/>
                  </w:r>
                  <w:r>
                    <w:rPr>
                      <w:rFonts w:ascii="仿宋_GB2312" w:hAnsi="仿宋_GB2312" w:cs="仿宋_GB2312" w:eastAsia="仿宋_GB2312"/>
                      <w:sz w:val="20"/>
                      <w:color w:val="000000"/>
                    </w:rPr>
                    <w:t>▲12、具手势识别进行操作控台功能；</w:t>
                  </w:r>
                  <w:r>
                    <w:br/>
                  </w:r>
                  <w:r>
                    <w:rPr>
                      <w:rFonts w:ascii="仿宋_GB2312" w:hAnsi="仿宋_GB2312" w:cs="仿宋_GB2312" w:eastAsia="仿宋_GB2312"/>
                      <w:sz w:val="20"/>
                      <w:color w:val="000000"/>
                    </w:rPr>
                    <w:t>▲13、具有左右声道音箱；</w:t>
                  </w:r>
                  <w:r>
                    <w:br/>
                  </w:r>
                  <w:r>
                    <w:rPr>
                      <w:rFonts w:ascii="仿宋_GB2312" w:hAnsi="仿宋_GB2312" w:cs="仿宋_GB2312" w:eastAsia="仿宋_GB2312"/>
                      <w:sz w:val="20"/>
                      <w:color w:val="000000"/>
                    </w:rPr>
                    <w:t>▲14、≥3个千兆高速网口，无线WIFI网络通讯；</w:t>
                  </w:r>
                  <w:r>
                    <w:br/>
                  </w:r>
                  <w:r>
                    <w:rPr>
                      <w:rFonts w:ascii="仿宋_GB2312" w:hAnsi="仿宋_GB2312" w:cs="仿宋_GB2312" w:eastAsia="仿宋_GB2312"/>
                      <w:sz w:val="20"/>
                      <w:color w:val="000000"/>
                    </w:rPr>
                    <w:t>15、≥5个USB口；</w:t>
                  </w:r>
                  <w:r>
                    <w:br/>
                  </w:r>
                  <w:r>
                    <w:rPr>
                      <w:rFonts w:ascii="仿宋_GB2312" w:hAnsi="仿宋_GB2312" w:cs="仿宋_GB2312" w:eastAsia="仿宋_GB2312"/>
                      <w:sz w:val="20"/>
                      <w:color w:val="000000"/>
                    </w:rPr>
                    <w:t>▲16、无线对光：用无线远程设备和控台无线连接，实现灯位校准、光斑控制等；</w:t>
                  </w:r>
                  <w:r>
                    <w:br/>
                  </w:r>
                  <w:r>
                    <w:rPr>
                      <w:rFonts w:ascii="仿宋_GB2312" w:hAnsi="仿宋_GB2312" w:cs="仿宋_GB2312" w:eastAsia="仿宋_GB2312"/>
                      <w:sz w:val="20"/>
                      <w:color w:val="000000"/>
                    </w:rPr>
                    <w:t>17、舞台3D模拟效果，实时模拟现场效果，可在控台上直接操作各种舞台效果设备，方便离线编程；</w:t>
                  </w:r>
                  <w:r>
                    <w:br/>
                  </w:r>
                  <w:r>
                    <w:rPr>
                      <w:rFonts w:ascii="仿宋_GB2312" w:hAnsi="仿宋_GB2312" w:cs="仿宋_GB2312" w:eastAsia="仿宋_GB2312"/>
                      <w:sz w:val="20"/>
                      <w:color w:val="000000"/>
                    </w:rPr>
                    <w:t>▲18、光斑自动排列：可以快速地把多台电脑灯的光斑在某个指定位置集中在一起，排成一排，一列，三角形，圆形，多边形等，直接有效地提高调试编程效率；</w:t>
                  </w:r>
                  <w:r>
                    <w:br/>
                  </w:r>
                  <w:r>
                    <w:rPr>
                      <w:rFonts w:ascii="仿宋_GB2312" w:hAnsi="仿宋_GB2312" w:cs="仿宋_GB2312" w:eastAsia="仿宋_GB2312"/>
                      <w:sz w:val="20"/>
                      <w:color w:val="000000"/>
                    </w:rPr>
                    <w:t>19、内置音乐播放器，支持音频播放、视频播放；</w:t>
                  </w:r>
                  <w:r>
                    <w:br/>
                  </w:r>
                  <w:r>
                    <w:rPr>
                      <w:rFonts w:ascii="仿宋_GB2312" w:hAnsi="仿宋_GB2312" w:cs="仿宋_GB2312" w:eastAsia="仿宋_GB2312"/>
                      <w:sz w:val="20"/>
                      <w:color w:val="000000"/>
                    </w:rPr>
                    <w:t>▲20、生产厂家的灯光控制及网络设备近十年不存在知识产权侵权（含被起诉立案），需提供无侵权承诺书（格式自拟）。</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静音雪花机</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使用电压：</w:t>
                  </w:r>
                  <w:r>
                    <w:rPr>
                      <w:rFonts w:ascii="仿宋_GB2312" w:hAnsi="仿宋_GB2312" w:cs="仿宋_GB2312" w:eastAsia="仿宋_GB2312"/>
                      <w:sz w:val="20"/>
                      <w:color w:val="000000"/>
                    </w:rPr>
                    <w:t>AC 220V-240V,50/60Hz</w:t>
                  </w:r>
                  <w:r>
                    <w:br/>
                  </w:r>
                  <w:r>
                    <w:rPr>
                      <w:rFonts w:ascii="仿宋_GB2312" w:hAnsi="仿宋_GB2312" w:cs="仿宋_GB2312" w:eastAsia="仿宋_GB2312"/>
                      <w:sz w:val="20"/>
                      <w:color w:val="000000"/>
                    </w:rPr>
                    <w:t>限流保险：</w:t>
                  </w:r>
                  <w:r>
                    <w:rPr>
                      <w:rFonts w:ascii="仿宋_GB2312" w:hAnsi="仿宋_GB2312" w:cs="仿宋_GB2312" w:eastAsia="仿宋_GB2312"/>
                      <w:sz w:val="20"/>
                      <w:color w:val="000000"/>
                    </w:rPr>
                    <w:t>5A/250V</w:t>
                  </w:r>
                  <w:r>
                    <w:br/>
                  </w:r>
                  <w:r>
                    <w:rPr>
                      <w:rFonts w:ascii="仿宋_GB2312" w:hAnsi="仿宋_GB2312" w:cs="仿宋_GB2312" w:eastAsia="仿宋_GB2312"/>
                      <w:sz w:val="20"/>
                      <w:color w:val="000000"/>
                    </w:rPr>
                    <w:t>总功率：</w:t>
                  </w:r>
                  <w:r>
                    <w:rPr>
                      <w:rFonts w:ascii="仿宋_GB2312" w:hAnsi="仿宋_GB2312" w:cs="仿宋_GB2312" w:eastAsia="仿宋_GB2312"/>
                      <w:sz w:val="20"/>
                      <w:color w:val="000000"/>
                    </w:rPr>
                    <w:t>550W</w:t>
                  </w:r>
                  <w:r>
                    <w:br/>
                  </w:r>
                  <w:r>
                    <w:rPr>
                      <w:rFonts w:ascii="仿宋_GB2312" w:hAnsi="仿宋_GB2312" w:cs="仿宋_GB2312" w:eastAsia="仿宋_GB2312"/>
                      <w:sz w:val="20"/>
                      <w:color w:val="000000"/>
                    </w:rPr>
                    <w:t>最大喷射高度：大约</w:t>
                  </w:r>
                  <w:r>
                    <w:rPr>
                      <w:rFonts w:ascii="仿宋_GB2312" w:hAnsi="仿宋_GB2312" w:cs="仿宋_GB2312" w:eastAsia="仿宋_GB2312"/>
                      <w:sz w:val="20"/>
                      <w:color w:val="000000"/>
                    </w:rPr>
                    <w:t>8m</w:t>
                  </w:r>
                  <w:r>
                    <w:br/>
                  </w:r>
                  <w:r>
                    <w:rPr>
                      <w:rFonts w:ascii="仿宋_GB2312" w:hAnsi="仿宋_GB2312" w:cs="仿宋_GB2312" w:eastAsia="仿宋_GB2312"/>
                      <w:sz w:val="20"/>
                      <w:color w:val="000000"/>
                    </w:rPr>
                    <w:t>最大喷射距离：大约</w:t>
                  </w:r>
                  <w:r>
                    <w:rPr>
                      <w:rFonts w:ascii="仿宋_GB2312" w:hAnsi="仿宋_GB2312" w:cs="仿宋_GB2312" w:eastAsia="仿宋_GB2312"/>
                      <w:sz w:val="20"/>
                      <w:color w:val="000000"/>
                    </w:rPr>
                    <w:t>10m</w:t>
                  </w:r>
                  <w:r>
                    <w:br/>
                  </w:r>
                  <w:r>
                    <w:rPr>
                      <w:rFonts w:ascii="仿宋_GB2312" w:hAnsi="仿宋_GB2312" w:cs="仿宋_GB2312" w:eastAsia="仿宋_GB2312"/>
                      <w:sz w:val="20"/>
                      <w:color w:val="000000"/>
                    </w:rPr>
                    <w:t>雪花覆盖面积：</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30 ㎡（室内放置地面，喷口 45°）</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约</w:t>
                  </w:r>
                  <w:r>
                    <w:rPr>
                      <w:rFonts w:ascii="仿宋_GB2312" w:hAnsi="仿宋_GB2312" w:cs="仿宋_GB2312" w:eastAsia="仿宋_GB2312"/>
                      <w:sz w:val="20"/>
                      <w:color w:val="000000"/>
                    </w:rPr>
                    <w:t>40 ㎡（室内吊挂5m高，喷口 45°）</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约</w:t>
                  </w:r>
                  <w:r>
                    <w:rPr>
                      <w:rFonts w:ascii="仿宋_GB2312" w:hAnsi="仿宋_GB2312" w:cs="仿宋_GB2312" w:eastAsia="仿宋_GB2312"/>
                      <w:sz w:val="20"/>
                      <w:color w:val="000000"/>
                    </w:rPr>
                    <w:t>45 ㎡（室内吊挂10m高，喷口 45°）</w:t>
                  </w:r>
                  <w:r>
                    <w:br/>
                  </w:r>
                  <w:r>
                    <w:rPr>
                      <w:rFonts w:ascii="仿宋_GB2312" w:hAnsi="仿宋_GB2312" w:cs="仿宋_GB2312" w:eastAsia="仿宋_GB2312"/>
                      <w:sz w:val="20"/>
                      <w:color w:val="000000"/>
                    </w:rPr>
                    <w:t>运行噪音控制：大约</w:t>
                  </w:r>
                  <w:r>
                    <w:rPr>
                      <w:rFonts w:ascii="仿宋_GB2312" w:hAnsi="仿宋_GB2312" w:cs="仿宋_GB2312" w:eastAsia="仿宋_GB2312"/>
                      <w:sz w:val="20"/>
                      <w:color w:val="000000"/>
                    </w:rPr>
                    <w:t>≥10m，65dB</w:t>
                  </w:r>
                  <w:r>
                    <w:br/>
                  </w:r>
                  <w:r>
                    <w:rPr>
                      <w:rFonts w:ascii="仿宋_GB2312" w:hAnsi="仿宋_GB2312" w:cs="仿宋_GB2312" w:eastAsia="仿宋_GB2312"/>
                      <w:sz w:val="20"/>
                      <w:color w:val="000000"/>
                    </w:rPr>
                    <w:t>最大输出耗油量：大约</w:t>
                  </w:r>
                  <w:r>
                    <w:rPr>
                      <w:rFonts w:ascii="仿宋_GB2312" w:hAnsi="仿宋_GB2312" w:cs="仿宋_GB2312" w:eastAsia="仿宋_GB2312"/>
                      <w:sz w:val="20"/>
                      <w:color w:val="000000"/>
                    </w:rPr>
                    <w:t>2.8min/L</w:t>
                  </w:r>
                  <w:r>
                    <w:br/>
                  </w:r>
                  <w:r>
                    <w:rPr>
                      <w:rFonts w:ascii="仿宋_GB2312" w:hAnsi="仿宋_GB2312" w:cs="仿宋_GB2312" w:eastAsia="仿宋_GB2312"/>
                      <w:sz w:val="20"/>
                      <w:color w:val="000000"/>
                    </w:rPr>
                    <w:t>无线遥控器：含</w:t>
                  </w:r>
                  <w:r>
                    <w:br/>
                  </w:r>
                  <w:r>
                    <w:rPr>
                      <w:rFonts w:ascii="仿宋_GB2312" w:hAnsi="仿宋_GB2312" w:cs="仿宋_GB2312" w:eastAsia="仿宋_GB2312"/>
                      <w:sz w:val="20"/>
                      <w:color w:val="000000"/>
                    </w:rPr>
                    <w:t>DMX-512：可控</w:t>
                  </w:r>
                  <w:r>
                    <w:br/>
                  </w:r>
                  <w:r>
                    <w:rPr>
                      <w:rFonts w:ascii="仿宋_GB2312" w:hAnsi="仿宋_GB2312" w:cs="仿宋_GB2312" w:eastAsia="仿宋_GB2312"/>
                      <w:sz w:val="20"/>
                      <w:color w:val="000000"/>
                    </w:rPr>
                    <w:t>DMX通道数：2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龙门架</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16米*8米，含铝板四方架520*760（横梁），400*400（立柱），葫芦，吊带，横担，保险杠，底座，配重，斜支撑，反头，方套等辅料，承重1000KG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30日历天，如遇特殊情况顺延。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第一次为合同签订后10个工作日内，支付合同总金额的70%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第二次为货到验收合格后10个工作日内，支付合同总金额的30%。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1、验收由甲、乙双方相关人员组成的验收小组负责。 2、提供制造厂家的检验测试报告或产品出厂检测报告。3、甲方根据合同要求对产品进行到货验收、确认产品的产地、规格、型号和数量。验收依据为已签订的合同文本、投标文件和国内相应的标准、规范。4、验收合格后，填写产品验收单，并向甲方提交产品所包含的所有资料，以便使用单位日后管理和维护。5、在交割以前产品所发生的一切损失及费用由乙方承担。性能达到技术要求的，验收通过；验收不合格的，限期整改。6、如因货物的质量问题发生争议，由甲方属地技术质量监督部门进行质量鉴定；货物符合质量标准的，鉴定费由甲方承担；货物不符合质量标准的，鉴定费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 1 年。 售后要求：质保期内，发生质量问题，乙方自接到甲方通知后，1 小时内响应，应于 4 小时内派出专业的维修人员到现场进行检测维修，12 小时内完成修复，发生的全部费用由乙方承担。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 1.本项目通过电子化交易系统投标，投标人除需在电子化交易系统上传投标文件外，另外中标人还需在中标后，向代理机构递交密封完好的系统生成的纸质版投标文件（壹份，胶装）。 2.开标当日，投标人应在开标大厅等候并保持通讯畅通，以便出现询标时能及时在线。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4．执行标准明显低于采购需求的； 5．不能实质性响应招标文件采购内容的； 6．报价明显低于其他合格投标人的报价，在现场规定的时间内不能提供有效证明材料且经评标委员会认定形成不正当竞争的； 7．提供虚假证明，开具虚假资质，出现虚假应答或故意隐瞒行为的，除按无效投标处理外还按政府采购相关规定进行相应的处罚； 8．不符合法律、法规和招标文件规定的其他无效情形。 四、中小企业： 1.是否属于中小企业，供应商按《统计上大中小微型企业划分办法（2017）》（国统字﹝2017﹞213号）工业划型标准判定，并承担责任。如判定原则与第五章及附件格式不一致的，以此为准。 2.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这不视为中小企业。 五、本文件中供应商也称投标人，采购文件也称招标文件。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提供合格有效的法人或者其他组织的营业执照等证明文件，自然人的身份证明；投标人是法人或其他组织的应提供营业执照等证明文件，投标人是自然人的应提供有效的自然人身份证明；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财务状况报告（二选一）：①供应商提供2023年度或2024年度经会计事务所或审计机构审计的完整的财务审计报告（成立时间至提供响应文件截止时间不足一年的可提供成立后任意时段的资产负债表）；②在投标截止时间前六个月内其开户银行出具的资信证明（附开户许可证或基本账户存款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提供投标截止日前一年内已缴纳的至少一个月的纳税证明或完税证明，依法免税的或零申报的单位应提供相关证明材料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法定代表人授权书及被授权人身份证；（附法定代表人、被授权人身份证复印件），法定代表人直接参加投标，须提供法定代表人身份证明及身份证复印件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未被信用中国网站列入失信被执行人和重大税收违法案件当事人名单、未被中国政府采购网列入政府采购严重违法失信行为记录名单（开标后系统查询）。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投标方案说明书.docx 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投标方案说明书.docx 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投标方案说明书.docx 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按照投标人须知前附表9缴纳投标保证金</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招标文件中的技术规格、参数要求等仅为方便描述而没有限制性，所描述的货物参数及相关性能要求为最基本的要求，投标人可选用优于或等于招标项目内容的货物进行投标。根据招标文件技术参数和投标响应文件的响应程度进行综合评审：完全响应招标文件技术参数、性能要求的计20分。 标识“▲”的为重要参数，一项不满足扣2分，其他项一项不满足扣0.5分，扣完为止。 注：供应商须在投标文件中对所投设备技术参数指标如实逐条响应。（提供相关技术指标证明材料予以佐证，佐证材料指产品彩页或检测报告）。 供应商自行承担因材料提供不全导致的技术参数评审风险。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根据供应商提供的方案进行评审： 内容详实，方案科学、合理，考虑周全，措施到位 ，针对性强，完全满足采购需求，得[7-10]分； 内容完整，方案基本科学、合理，基本考虑周全，措施基本到位，针对性较强，可以满足采购需求，但有个别细节需要进一步完善或提高，得[4-7）分； 内容基本完整，方案在科学、合理方面一般，考虑不周，措施不够到位，针对性不强，虽然能够基本满足采购需求，但有很多方面需要进一步完善，得[1-4）分。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安装调试组织措施</w:t>
            </w:r>
          </w:p>
        </w:tc>
        <w:tc>
          <w:tcPr>
            <w:tcW w:type="dxa" w:w="2492"/>
          </w:tcPr>
          <w:p>
            <w:pPr>
              <w:pStyle w:val="null3"/>
            </w:pPr>
            <w:r>
              <w:rPr>
                <w:rFonts w:ascii="仿宋_GB2312" w:hAnsi="仿宋_GB2312" w:cs="仿宋_GB2312" w:eastAsia="仿宋_GB2312"/>
              </w:rPr>
              <w:t>针对本项目的安装调试组织措施完善，并针对本项目特点做出合理计划及调配，帮助采购人将设备调试到最佳使用状态，保证项目的顺利运行。 措施完善、合理、切实可行,得[7-10]分； 措施较完备、合理、基本可行，得[4-7）分； 措施空洞不符合实际情况，得[1-4）分；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针对本项目提出的质量保障措施： 措施完善、合理、切实可行,得[7-10]分； 措施较完备、合理、基本可行，得[4-7）分； 措施空洞不符合实际情况，得[1-4）分；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针对本项目投入的服务团队： 人员配备科学合理、人员数量充足，完全满足采购需求，可实施性强，得[5-8]分； 人员配备较合理、人员数量满足采购需求，可实施性较强，得[3-5）分； 人员配备合理性差、人员数量少，可实施性差，得[1-3）分。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在采购人提出的售后服务要求的基础上进行响应。 方案详细可行，得[4-6]分； 方案基本合理，得[2-4）分； 方案内容空洞未贴合实际，得[1-2）分；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 培训服务方案详细可行，得[4-6]分； 培训服务方案基本合理，得[2-4）分； 培训服务方案内容空洞未贴合实际，得[1-2）分；，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2、有效最低报价为基准价得30分。 3、按（有效最低报价/有效投标报价）×30的公式计算报价得分。 4、价格分计算数字“四舍五入”，保留小数点后两位。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