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版本号：JRZC-202503720250625001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微创技能培训中心装饰工程项目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JRZC-2025037</w:t>
      </w:r>
      <w:r>
        <w:br/>
      </w:r>
      <w:r>
        <w:br/>
      </w:r>
      <w:r>
        <w:br/>
      </w:r>
    </w:p>
    <w:p>
      <w:pPr>
        <w:pStyle w:val="null3"/>
        <w:jc w:val="center"/>
        <w:outlineLvl w:val="2"/>
      </w:pPr>
      <w:r>
        <w:rPr>
          <w:rFonts w:ascii="仿宋_GB2312" w:hAnsi="仿宋_GB2312" w:cs="仿宋_GB2312" w:eastAsia="仿宋_GB2312"/>
          <w:sz w:val="28"/>
          <w:b/>
        </w:rPr>
        <w:t>延安大学附属医院</w:t>
      </w:r>
    </w:p>
    <w:p>
      <w:pPr>
        <w:pStyle w:val="null3"/>
        <w:jc w:val="center"/>
        <w:outlineLvl w:val="2"/>
      </w:pPr>
      <w:r>
        <w:rPr>
          <w:rFonts w:ascii="仿宋_GB2312" w:hAnsi="仿宋_GB2312" w:cs="仿宋_GB2312" w:eastAsia="仿宋_GB2312"/>
          <w:sz w:val="28"/>
          <w:b/>
        </w:rPr>
        <w:t>陕西炬荣招标代理有限公司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陕西炬荣招标代理有限公司</w:t>
      </w:r>
      <w:r>
        <w:rPr>
          <w:rFonts w:ascii="仿宋_GB2312" w:hAnsi="仿宋_GB2312" w:cs="仿宋_GB2312" w:eastAsia="仿宋_GB2312"/>
        </w:rPr>
        <w:t>（以下简称“代理机构”）受</w:t>
      </w:r>
      <w:r>
        <w:rPr>
          <w:rFonts w:ascii="仿宋_GB2312" w:hAnsi="仿宋_GB2312" w:cs="仿宋_GB2312" w:eastAsia="仿宋_GB2312"/>
        </w:rPr>
        <w:t>延安大学附属医院</w:t>
      </w:r>
      <w:r>
        <w:rPr>
          <w:rFonts w:ascii="仿宋_GB2312" w:hAnsi="仿宋_GB2312" w:cs="仿宋_GB2312" w:eastAsia="仿宋_GB2312"/>
        </w:rPr>
        <w:t>委托，拟对</w:t>
      </w:r>
      <w:r>
        <w:rPr>
          <w:rFonts w:ascii="仿宋_GB2312" w:hAnsi="仿宋_GB2312" w:cs="仿宋_GB2312" w:eastAsia="仿宋_GB2312"/>
        </w:rPr>
        <w:t>微创技能培训中心装饰工程项目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JRZC-2025037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微创技能培训中心装饰工程项目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项目位于延安大学（杨家岭校区）星海楼四楼，建筑面积 856.5平米；工程类型为装饰改 造工程，改造包含的专业有：装饰、给排水、暖通、强弱电、医用气体等。主要功能或目标为：1.通过本次装饰改造，全面升级培训中心的设施与空间环境，打造一个标准化教学、模拟实操、学术交流于一体的综合性培训场所；2.将优化功能分区，设置专业的实训室，让学员随时体验标准手术的操作流程与技能；3.提升照明、通风等基础条件，确保学员在舒适的环境中学习；4.采用专业的医用材料，保证各教学区域互不干扰，提高教学质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采购包1（延安大学附属医院微创技能培训中心装饰工程项目）：属于专门面向中小企业采购。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1、营业执照：具有独立承担民事责任能力的法人或其他组织，提供合法有效的统一社会信用代码的营业执照（附年度报告书）或事业单位法人证书等国家规定的相关证明，自然人参与的提供其身份证明；</w:t>
      </w:r>
    </w:p>
    <w:p>
      <w:pPr>
        <w:pStyle w:val="null3"/>
      </w:pPr>
      <w:r>
        <w:rPr>
          <w:rFonts w:ascii="仿宋_GB2312" w:hAnsi="仿宋_GB2312" w:cs="仿宋_GB2312" w:eastAsia="仿宋_GB2312"/>
        </w:rPr>
        <w:t>2、法定代表人授权书：法定代表人授权书（附法定代表人身份证复印件）及被授权人身份证（法定代表人直接参加只须提供法定代表人身份证）；</w:t>
      </w:r>
    </w:p>
    <w:p>
      <w:pPr>
        <w:pStyle w:val="null3"/>
      </w:pPr>
      <w:r>
        <w:rPr>
          <w:rFonts w:ascii="仿宋_GB2312" w:hAnsi="仿宋_GB2312" w:cs="仿宋_GB2312" w:eastAsia="仿宋_GB2312"/>
        </w:rPr>
        <w:t>3、税收缴纳证明：提供2024年度6月至2025年度6月份任意一个月份的缴税凭证或依法免税的供应商应提供相关文件证明；</w:t>
      </w:r>
    </w:p>
    <w:p>
      <w:pPr>
        <w:pStyle w:val="null3"/>
      </w:pPr>
      <w:r>
        <w:rPr>
          <w:rFonts w:ascii="仿宋_GB2312" w:hAnsi="仿宋_GB2312" w:cs="仿宋_GB2312" w:eastAsia="仿宋_GB2312"/>
        </w:rPr>
        <w:t>4、社会保障资金缴纳证明：提供2024年6月份至2025年6月份任意一个月份的社会保障资金缴存证明或社保机构开具的社会保险参保缴费情况证明；依法不需要缴纳社会保障资金的应提供相关文件证明；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5、财务审计报告：供应商须提供2023年度或2024年度的财务审计报告(成立时间至提交响应文件截止时间不足一年的可提供成立后任意时段的资产负债表)，或其基本存款账户开户银行出具的资信证明及基本存款账户开户信息；</w:t>
      </w:r>
    </w:p>
    <w:p>
      <w:pPr>
        <w:pStyle w:val="null3"/>
      </w:pPr>
      <w:r>
        <w:rPr>
          <w:rFonts w:ascii="仿宋_GB2312" w:hAnsi="仿宋_GB2312" w:cs="仿宋_GB2312" w:eastAsia="仿宋_GB2312"/>
        </w:rPr>
        <w:t>6、资质证书：供应商需具备建设行政主管部门颁发的建筑装修装饰工程专业承包二级及以上资质，且有合法有效的安全生产许可证；</w:t>
      </w:r>
    </w:p>
    <w:p>
      <w:pPr>
        <w:pStyle w:val="null3"/>
      </w:pPr>
      <w:r>
        <w:rPr>
          <w:rFonts w:ascii="仿宋_GB2312" w:hAnsi="仿宋_GB2312" w:cs="仿宋_GB2312" w:eastAsia="仿宋_GB2312"/>
        </w:rPr>
        <w:t>7、项目经理：项目经理需具备建筑工程专业二级建造师及以上执业资格和有效的安全生产考核合格证书,且未担任其他在建工程的项目经理；</w:t>
      </w:r>
    </w:p>
    <w:p>
      <w:pPr>
        <w:pStyle w:val="null3"/>
      </w:pPr>
      <w:r>
        <w:rPr>
          <w:rFonts w:ascii="仿宋_GB2312" w:hAnsi="仿宋_GB2312" w:cs="仿宋_GB2312" w:eastAsia="仿宋_GB2312"/>
        </w:rPr>
        <w:t>8、信用记录：提供《供应商信用记录书面声明函》（按格式填写）经查，投标单位未被列入“信用中国”网站记录的“严重失信主体”或“重大税收违法失信主体”名单；不处于“中国政府采购网”记录的“政府采购严重违法失信行为信息记录名单”中的禁止参加政府采购活动期间，且参加政府采购活动近三年内，在经营活动中没有重大违法记录；</w:t>
      </w:r>
    </w:p>
    <w:p>
      <w:pPr>
        <w:pStyle w:val="null3"/>
      </w:pPr>
      <w:r>
        <w:rPr>
          <w:rFonts w:ascii="仿宋_GB2312" w:hAnsi="仿宋_GB2312" w:cs="仿宋_GB2312" w:eastAsia="仿宋_GB2312"/>
        </w:rPr>
        <w:t>9、中小企业声明函：供应商需提供中小企业声明函；</w:t>
      </w:r>
    </w:p>
    <w:p>
      <w:pPr>
        <w:pStyle w:val="null3"/>
      </w:pPr>
      <w:r>
        <w:rPr>
          <w:rFonts w:ascii="仿宋_GB2312" w:hAnsi="仿宋_GB2312" w:cs="仿宋_GB2312" w:eastAsia="仿宋_GB2312"/>
        </w:rPr>
        <w:t>10、本项目不接受联合体磋商：本项目不接受联合体磋商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延安大学附属医院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陕西省延安市宝塔区北大街43号延安大学附属医院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延安大学附属医院经办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0911-2881326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陕西炬荣招标代理有限公司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延安市新区坤岗国际七号楼一单元602室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0911-8887276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采购包1：3,318,205.29元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依据《国家发展改革委关于进一步放开建设项目专业服务价格的通知》发改价格〔2015〕299号参照原国家计委颁布的《招标代理服务收费管理暂行办法》（计价格[2002]1980号）及发改办价格[2003]857号文件的规定标准收取，由成交供应商在领取成交通知书前向采购代理机构一次性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延安大学附属医院</w:t>
      </w:r>
      <w:r>
        <w:rPr>
          <w:rFonts w:ascii="仿宋_GB2312" w:hAnsi="仿宋_GB2312" w:cs="仿宋_GB2312" w:eastAsia="仿宋_GB2312"/>
        </w:rPr>
        <w:t>和</w:t>
      </w:r>
      <w:r>
        <w:rPr>
          <w:rFonts w:ascii="仿宋_GB2312" w:hAnsi="仿宋_GB2312" w:cs="仿宋_GB2312" w:eastAsia="仿宋_GB2312"/>
        </w:rPr>
        <w:t>陕西炬荣招标代理有限公司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延安大学附属医院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陕西炬荣招标代理有限公司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延安大学附属医院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陕西炬荣招标代理有限公司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1、磋商文件、响应文件； 2、合同及附件文本； 3、国家相应的标准、规范。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陕西炬荣招标代理有限公司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陕西炬荣招标代理有限公司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陕西炬荣招标代理有限公司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联系电话：0911-8887276</w:t>
      </w:r>
    </w:p>
    <w:p>
      <w:pPr>
        <w:pStyle w:val="null3"/>
      </w:pPr>
      <w:r>
        <w:rPr>
          <w:rFonts w:ascii="仿宋_GB2312" w:hAnsi="仿宋_GB2312" w:cs="仿宋_GB2312" w:eastAsia="仿宋_GB2312"/>
        </w:rPr>
        <w:t>地址：延安市新区坤岗国际七号楼一单元602室</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3,318,205.29</w:t>
      </w:r>
    </w:p>
    <w:p>
      <w:pPr>
        <w:pStyle w:val="null3"/>
      </w:pPr>
      <w:r>
        <w:rPr>
          <w:rFonts w:ascii="仿宋_GB2312" w:hAnsi="仿宋_GB2312" w:cs="仿宋_GB2312" w:eastAsia="仿宋_GB2312"/>
        </w:rPr>
        <w:t>采购包最高限价（元）: 3,318,205.29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微创技能培训中心装饰工程项目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3,318,205.29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标的名称：微创技能培训中心装饰工程项目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5B9BD5"/>
              </w:rPr>
              <w:t>具体内容详见施工图及工程量清单。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供应商需要在线提交所有通过电子化交易平台实施的政府采购项目的响应文件，同时，线下提交响应文件正本壹份、副本贰份、电子版贰套（U盘贰套标明供应商名称，随正本密封，电子版内容：电子响应文件(已标价工程量清单SXTB格式)、GBQ格式。）、包含word及PDF格式响应文件所有内容。若电子响应文件与纸质响应文件不一致的，以线上提交的电子响应文件为准。线下提交响应文件截止时间：同线上递交截止时间（北京时间）线下提交投标文件地点：延安市新区坤岗国际七号楼一单元602室（陕西炬荣招标代理有限公司）；联系电话：0911-8887276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供应商资质证明文件.docx 磋商响应函.docx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供应商须提供2023年度或2024年度的财务审计报告(成立时间至提交响应文件截止时间不足一年的可提供成立后任意时段的资产负债表)，或其基本存款账户开户银行出具的资信证明及基本存款账户开户信息；</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供应商资质证明文件.docx 磋商响应函.docx 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供应商资质证明文件.docx 磋商响应函.docx 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具有独立承担民事责任能力的法人或其他组织，提供合法有效的统一社会信用代码的营业执照（附年度报告书）或事业单位法人证书等国家规定的相关证明，自然人参与的提供其身份证明；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法定代表人授权书（附法定代表人身份证复印件）及被授权人身份证（法定代表人直接参加只须提供法定代表人身份证）；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提供2024年度6月至2025年度6月份任意一个月份的缴税凭证或依法免税的供应商应提供相关文件证明；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提供2024年6月份至2025年6月份任意一个月份的社会保障资金缴存证明或社保机构开具的社会保险参保缴费情况证明；依法不需要缴纳社会保障资金的应提供相关文件证明；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供应商须提供2023年度或2024年度的财务审计报告(成立时间至提交响应文件截止时间不足一年的可提供成立后任意时段的资产负债表)，或其基本存款账户开户银行出具的资信证明及基本存款账户开户信息；</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供应商需具备建设行政主管部门颁发的建筑装修装饰工程专业承包二级及以上资质，且有合法有效的安全生产许可证；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项目经理需具备建筑工程专业二级建造师及以上执业资格和有效的安全生产考核合格证书,且未担任其他在建工程的项目经理；</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经查，投标单位未被列入“信用中国”网站记录的“严重失信主体”或“重大税收违法失信主体”名单；不处于“中国政府采购网”记录的“政府采购严重违法失信行为信息记录名单”中的禁止参加政府采购活动期间，且参加政府采购活动近三年内，在经营活动中没有重大违法记录；</w:t>
            </w:r>
          </w:p>
        </w:tc>
        <w:tc>
          <w:tcPr>
            <w:tcW w:type="dxa" w:w="1661"/>
          </w:tcPr>
          <w:p>
            <w:pPr>
              <w:pStyle w:val="null3"/>
            </w:pPr>
            <w:r>
              <w:rPr>
                <w:rFonts w:ascii="仿宋_GB2312" w:hAnsi="仿宋_GB2312" w:cs="仿宋_GB2312" w:eastAsia="仿宋_GB2312"/>
              </w:rPr>
              <w:t>供应商资质证明文件.docx 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供应商需提供中小企业声明函；</w:t>
            </w:r>
          </w:p>
        </w:tc>
        <w:tc>
          <w:tcPr>
            <w:tcW w:type="dxa" w:w="1661"/>
          </w:tcPr>
          <w:p>
            <w:pPr>
              <w:pStyle w:val="null3"/>
            </w:pPr>
            <w:r>
              <w:rPr>
                <w:rFonts w:ascii="仿宋_GB2312" w:hAnsi="仿宋_GB2312" w:cs="仿宋_GB2312" w:eastAsia="仿宋_GB2312"/>
              </w:rPr>
              <w:t>供应商资质证明文件.docx 供应商认为有必要补充说明的事项.docx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供应商资质证明文件.docx 磋商响应函.docx 供应商认为有必要补充说明的事项.docx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技术服务方案.docx 供应商资质证明文件.docx 已标价工程量清单 磋商响应函.docx 供应商认为有必要补充说明的事项.docx 响应文件封面.docx 报价函 标的清单 商务响应方案.docx 响应报价表.docx 响应函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是否满足磋商文件最低要求；</w:t>
            </w:r>
          </w:p>
        </w:tc>
        <w:tc>
          <w:tcPr>
            <w:tcW w:type="dxa" w:w="1661"/>
          </w:tcPr>
          <w:p>
            <w:pPr>
              <w:pStyle w:val="null3"/>
            </w:pPr>
            <w:r>
              <w:rPr>
                <w:rFonts w:ascii="仿宋_GB2312" w:hAnsi="仿宋_GB2312" w:cs="仿宋_GB2312" w:eastAsia="仿宋_GB2312"/>
              </w:rPr>
              <w:t>技术服务方案.docx 磋商响应函.docx 响应文件封面.docx 报价函 标的清单 商务响应方案.docx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质量目标</w:t>
            </w:r>
          </w:p>
        </w:tc>
        <w:tc>
          <w:tcPr>
            <w:tcW w:type="dxa" w:w="3322"/>
          </w:tcPr>
          <w:p>
            <w:pPr>
              <w:pStyle w:val="null3"/>
            </w:pPr>
            <w:r>
              <w:rPr>
                <w:rFonts w:ascii="仿宋_GB2312" w:hAnsi="仿宋_GB2312" w:cs="仿宋_GB2312" w:eastAsia="仿宋_GB2312"/>
              </w:rPr>
              <w:t>是否满足磋商文件最低要求；</w:t>
            </w:r>
          </w:p>
        </w:tc>
        <w:tc>
          <w:tcPr>
            <w:tcW w:type="dxa" w:w="1661"/>
          </w:tcPr>
          <w:p>
            <w:pPr>
              <w:pStyle w:val="null3"/>
            </w:pPr>
            <w:r>
              <w:rPr>
                <w:rFonts w:ascii="仿宋_GB2312" w:hAnsi="仿宋_GB2312" w:cs="仿宋_GB2312" w:eastAsia="仿宋_GB2312"/>
              </w:rPr>
              <w:t>技术服务方案.docx 磋商响应函.docx 报价函 标的清单 商务响应方案.docx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是否满足磋商文件最低要求；</w:t>
            </w:r>
          </w:p>
        </w:tc>
        <w:tc>
          <w:tcPr>
            <w:tcW w:type="dxa" w:w="1661"/>
          </w:tcPr>
          <w:p>
            <w:pPr>
              <w:pStyle w:val="null3"/>
            </w:pPr>
            <w:r>
              <w:rPr>
                <w:rFonts w:ascii="仿宋_GB2312" w:hAnsi="仿宋_GB2312" w:cs="仿宋_GB2312" w:eastAsia="仿宋_GB2312"/>
              </w:rPr>
              <w:t>供应商资质证明文件.docx 磋商响应函.docx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技术服务方案.docx 已标价工程量清单 磋商响应函.docx 法定代表人证明书与授权书.docx 供应商承诺书.docx 供应商资质证明文件.docx 供应商认为有必要补充说明的事项.docx 响应文件封面.docx 报价函 标的清单 商务响应方案.docx 响应报价表.docx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是否完全理解并接受对合格供应商、合格的货物、工程或服务要求，技术/服务没有重大偏离和保留；</w:t>
            </w:r>
          </w:p>
        </w:tc>
        <w:tc>
          <w:tcPr>
            <w:tcW w:type="dxa" w:w="1661"/>
          </w:tcPr>
          <w:p>
            <w:pPr>
              <w:pStyle w:val="null3"/>
            </w:pPr>
            <w:r>
              <w:rPr>
                <w:rFonts w:ascii="仿宋_GB2312" w:hAnsi="仿宋_GB2312" w:cs="仿宋_GB2312" w:eastAsia="仿宋_GB2312"/>
              </w:rPr>
              <w:t>技术服务方案.docx 已标价工程量清单 磋商响应函.docx 法定代表人证明书与授权书.docx 供应商承诺书.docx 供应商资质证明文件.docx 供应商认为有必要补充说明的事项.docx 响应文件封面.docx 报价函 标的清单 商务响应方案.docx 响应报价表.docx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合同文本</w:t>
            </w:r>
          </w:p>
        </w:tc>
        <w:tc>
          <w:tcPr>
            <w:tcW w:type="dxa" w:w="3322"/>
          </w:tcPr>
          <w:p>
            <w:pPr>
              <w:pStyle w:val="null3"/>
            </w:pPr>
            <w:r>
              <w:rPr>
                <w:rFonts w:ascii="仿宋_GB2312" w:hAnsi="仿宋_GB2312" w:cs="仿宋_GB2312" w:eastAsia="仿宋_GB2312"/>
              </w:rPr>
              <w:t>是否完全完全理解并接受招标文件合同基本条款的要求。</w:t>
            </w:r>
          </w:p>
        </w:tc>
        <w:tc>
          <w:tcPr>
            <w:tcW w:type="dxa" w:w="1661"/>
          </w:tcPr>
          <w:p>
            <w:pPr>
              <w:pStyle w:val="null3"/>
            </w:pPr>
            <w:r>
              <w:rPr>
                <w:rFonts w:ascii="仿宋_GB2312" w:hAnsi="仿宋_GB2312" w:cs="仿宋_GB2312" w:eastAsia="仿宋_GB2312"/>
              </w:rPr>
              <w:t>技术服务方案.docx 已标价工程量清单 磋商响应函.docx 法定代表人证明书与授权书.docx 供应商承诺书.docx 供应商资质证明文件.docx 供应商认为有必要补充说明的事项.docx 响应文件封面.docx 报价函 标的清单 商务响应方案.docx 响应报价表.docx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完全理解并接受法律法规和招标文件对供应商的各项须知、规约要求和责任义务，没有出现法律法规或招标文件明确规定的其他被视为“无效投标”的情形。</w:t>
            </w:r>
          </w:p>
        </w:tc>
        <w:tc>
          <w:tcPr>
            <w:tcW w:type="dxa" w:w="1661"/>
          </w:tcPr>
          <w:p>
            <w:pPr>
              <w:pStyle w:val="null3"/>
            </w:pPr>
            <w:r>
              <w:rPr>
                <w:rFonts w:ascii="仿宋_GB2312" w:hAnsi="仿宋_GB2312" w:cs="仿宋_GB2312" w:eastAsia="仿宋_GB2312"/>
              </w:rPr>
              <w:t>技术服务方案.docx 已标价工程量清单 磋商响应函.docx 法定代表人证明书与授权书.docx 供应商承诺书.docx 供应商资质证明文件.docx 供应商认为有必要补充说明的事项.docx 响应文件封面.docx 报价函 标的清单 商务响应方案.docx 响应报价表.docx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供应商根据项目特点及采购人实际需求编制完善的施工方案，内容包含：①施工方法（工艺）②施工组织③施工程序④现场平面布置⑤技术组织措施。 二、评审标准 1.完整性：方案必须全面，对评审内容中的各项要求有详细描述； 2.可实施性：切合本项目实际情况，提出步骤清晰、合理的方案； 3.针对性：方案能够紧扣项目实际情况，内容科学合理。 三、赋分标准（满分15分） ①施工方法（工艺）：每完全满足一个评审标准得1分，满分3 分； ②施工组织：每完全满足一个评审标准得1分，满分3分； ③施工程序：每完全满足一个评审标准得1分，满分3分； ④现场平面布置：每完全满足一个评审标准得1分，满分3分； ⑤技术组织措施：每完全满足一个评审标准得1分，满分3分。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供应商编制完善的施工进度计划，内容包含：①施工总进度：施工进度目标和施工总进度计划表（图）②分部分项工期一览表③里程碑节点：合同中规定的重要检查、检验的次序和时间。 二、评审标准 1.完整性：方案必须全面，对评审内容中的各项要求有详细描述； 2.可实施性：切合本项目实际情况，提出步骤清晰、合理的方案； 3.针对性：方案能够紧扣项目实际情况，内容科学合理。 三、赋分标准（满分4.5分） ①施工总进度：每完全满足一个评审标准得0.5分，满分1.5分； ②分部分项工期一览表：每完全满足一个评审标准得0.5分，满分1.5分； ③里程碑节点：每完全满足一个评审标准得0.5分，满分1.5分。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质量技术措施</w:t>
            </w:r>
          </w:p>
        </w:tc>
        <w:tc>
          <w:tcPr>
            <w:tcW w:type="dxa" w:w="2492"/>
          </w:tcPr>
          <w:p>
            <w:pPr>
              <w:pStyle w:val="null3"/>
            </w:pPr>
            <w:r>
              <w:rPr>
                <w:rFonts w:ascii="仿宋_GB2312" w:hAnsi="仿宋_GB2312" w:cs="仿宋_GB2312" w:eastAsia="仿宋_GB2312"/>
              </w:rPr>
              <w:t>一、评审内容 供应商编制完善的质量技术措施，内容包含：①工程质量目标及质量管理②施工质量保证措施方案③施工质量控制方案。 二、评审标准 1.完整性：方案必须全面，对评审内容中的各项要求有详细描述； 2.可实施性：切合本项目实际情况，提出步骤清晰、合理的方案； 3.针对性：方案能够紧扣项目实际情况，内容科学合理。 三、赋分标准（满分4.5分） ①工程质量目标及质量管理：每完全满足一个评审标准得0.5分，满分1.5分； ②施工质量保证措施方案：每完全满足一个评审标准得0.5分，满分1.5分； ③施工质量控制方案：每完全满足一个评审标准得0.5分，满分1.5分。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一、评审内容 供应商编制完善的工期保证措施，方案内容至少包括：①施工组织与管理保证措施②工序穿插保证措施③特殊情况保证：夜间、雨季、高低温等其它情况。 二、评审标准 1.完整性：方案必须全面，对评审内容中的各项要求有详细描述； 2.可实施性：切合本项目实际情况，提出步骤清晰、合理的方案； 3.针对性：方案能够紧扣项目实际情况，内容科学合理。 三、赋分标准（满分 4.5 分） ①施工组织与管理保证措施：每完全满足一个评审标准得0.5分，满分1.5分； ②工序穿插保证措施：每完全满足一个评审标准得0.5分，满分1.5分； ③特殊情况保证：每完全满足一个评审标准得 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 供应商编制完善的安全技术措施，内容包含：①安全管理体系②安全责任归属划分③安全标识：安全警戒标语、施工人员安全警示服和安全帽穿配要求④安全教育培训。 二、评审标准 1.完整性：方案必须全面，对评审内容中的各项要求有详细描述； 2.可实施性：切合本项目实际情况，提出步骤清晰、合理的方案； 3.针对性：方案能够紧扣项目实际情况，内容科学合理。 三、赋分标准（满分6分） ①安全管理体系：每完全满足一个评审标准得0.5分，满分1.5分； ②安全责任归属划分：每完全满足一个评审标准得0.5分，满分1.5分； ③安全标识：每完全满足一个评审标准得0.5分，满分1.5分； ④安全教育培训：每完全满足一个评审标准得0.5分，满分1.5分。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供应商编制完善的文明施工措施，内容包含：①成品保护措施和制度②施工现场的临时管理措施③文明施工保障措施。 二、评审标准 1.完整性：方案必须全面，对评审内容中的各项要求有详细描述； 2.可实施性：切合本项目实际情况，提出步骤清晰、合理的方案； 3.针对性：方案能够紧扣项目实际情况，内容科学合理。 三、赋分标准（满分4.5分） ①成品保护措施和制度：每完全满足一个评审标准得0.5分，满分1.5分； ②施工现场的临时管理措施：每完全满足一个评审标准得0.5分，满分1.5分； ③文明施工保障措施：每完全满足一个评审标准得0.5分，满分1.5分。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组织措施</w:t>
            </w:r>
          </w:p>
        </w:tc>
        <w:tc>
          <w:tcPr>
            <w:tcW w:type="dxa" w:w="2492"/>
          </w:tcPr>
          <w:p>
            <w:pPr>
              <w:pStyle w:val="null3"/>
            </w:pPr>
            <w:r>
              <w:rPr>
                <w:rFonts w:ascii="仿宋_GB2312" w:hAnsi="仿宋_GB2312" w:cs="仿宋_GB2312" w:eastAsia="仿宋_GB2312"/>
              </w:rPr>
              <w:t>针对本项目提供除项目经理外的具体人员配置清单（清单内容至少应包含：具体成员姓名、年龄、职称（职业资格证书）、工作经历、（岗位），提供以上清单中所有内容得1.5分，不提供或缺项不得分。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供应商编制详细可靠的紧急情况应急措施，内容包含①自然灾害应急措施：遇到极端天气、火灾、防汛、地震等其他突发事件的应急措施②安全事故应急措施：高空坠落伤害应急措施、触电应急措施、人员伤亡应急措施。 二、评审标准 1.完整性：方案必须全面，对评审内容中的各项要求有详细描述； 2.可实施性：切合本项目实际情况，提出步骤清晰、合理的方案； 3.针对性：方案能够紧扣项目实际情况，内容科学合理。 三、赋分标准（满分 3 分） ①自然灾害应急措施：每完全满足一个评审标准得 0.5 分，满分 1.5分； ②安全事故应急措施：每完全满足一个评审标准得 0.5 分，满分 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资源配置 计划</w:t>
            </w:r>
          </w:p>
        </w:tc>
        <w:tc>
          <w:tcPr>
            <w:tcW w:type="dxa" w:w="2492"/>
          </w:tcPr>
          <w:p>
            <w:pPr>
              <w:pStyle w:val="null3"/>
            </w:pPr>
            <w:r>
              <w:rPr>
                <w:rFonts w:ascii="仿宋_GB2312" w:hAnsi="仿宋_GB2312" w:cs="仿宋_GB2312" w:eastAsia="仿宋_GB2312"/>
              </w:rPr>
              <w:t>一、评审内容 针对本项目提供资源配置计划，内容包括①拟投入的主要施工机械设备计划②主要材料进场计划③劳动力投入计划。 二、评审标准 1.完整性：方案必须全面，对评审内容中的各项要求有详细描述； 2.可实施性：切合本项目实际情况，提出步骤清晰、合理的方案； 3.针对性：方案能够紧扣项目实际情况，内容科学合理。 三、赋分标准（满分 4.5） ①拟投入的主要施工机械设备计划：每完全满足一个评审标准得0.5 分，满分 1.5 分； ②主要材料进场计划：每完全满足一个评审标准得 0.5 分，满分 1.5分； ③劳动力投入计划：每完全满足一个评审标准得 0.5 分，满分 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施工重难 点分析</w:t>
            </w:r>
          </w:p>
        </w:tc>
        <w:tc>
          <w:tcPr>
            <w:tcW w:type="dxa" w:w="2492"/>
          </w:tcPr>
          <w:p>
            <w:pPr>
              <w:pStyle w:val="null3"/>
            </w:pPr>
            <w:r>
              <w:rPr>
                <w:rFonts w:ascii="仿宋_GB2312" w:hAnsi="仿宋_GB2312" w:cs="仿宋_GB2312" w:eastAsia="仿宋_GB2312"/>
              </w:rPr>
              <w:t>一、评审内容 针对本项目提供施工重难点分析，内容包含①土建施工重难点②安装施工重难点 二、评审标准 1.完整性：内容必须全面，对评审内容中的各项要求有详细描述； 2.落实性：切合项目具体情况，提出责任明确、要求具体的方案； 3.针对性：内容能够紧扣项目实际情况，内容科学合理。 三、赋分标准（满分 6 分） ①装修施工重难点：每完全满足一个评审标准得 1 分，满分 3分； ②安装施工重难点：每完全满足一个评审标准得 1 分，满分 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1.提供2021年至今类似业绩，以合同为准，每个2分，最高得8分。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针对实际需求，在保证完成本项目的基础上，对降低工程造价、缩短施工周期提供实质性承诺或合理化建议，每提供一条得 1 分，满分 2 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商务响应方案.docx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 结合本项目的实际，供应商应依据国家相关规定对工程质量编制保修方案，内容包含①维修人员配备和服务措施②响应时间。 二、评审标准 1.完整性：内容必须全面，对评审内容中的各项要求有详细描述； 2.落实性：切合项目具体情况，提出责任明确、要求具体的方案； 3.针对性：内容能够紧扣项目实际情况，内容科学合理。 三、赋分标准（满分 6 分） ①人员配备和服务措施：每完全满足一个评审标准得1分，满分3分； ②响应时间：每完全满足一个评审标准得1分，满分3分。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商务响应方案.docx</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以满足磋商文件要求的供应商报价的最低价格为评标基准价，其价格分为满分。其他供应商的价格分统一按照下列公式计算：磋商报价得分=（评标基准价/磋商报价）×价格权值×100。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磋商响应函.docx</w:t>
            </w:r>
          </w:p>
          <w:p>
            <w:pPr>
              <w:pStyle w:val="null3"/>
            </w:pPr>
            <w:r>
              <w:rPr>
                <w:rFonts w:ascii="仿宋_GB2312" w:hAnsi="仿宋_GB2312" w:cs="仿宋_GB2312" w:eastAsia="仿宋_GB2312"/>
              </w:rPr>
              <w:t>响应报价表.docx</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详见附件：磋商响应函.docx</w:t>
      </w:r>
    </w:p>
    <w:p>
      <w:pPr>
        <w:pStyle w:val="null3"/>
        <w:ind w:firstLine="960"/>
      </w:pPr>
      <w:r>
        <w:rPr>
          <w:rFonts w:ascii="仿宋_GB2312" w:hAnsi="仿宋_GB2312" w:cs="仿宋_GB2312" w:eastAsia="仿宋_GB2312"/>
        </w:rPr>
        <w:t>详见附件：法定代表人证明书与授权书.docx</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详见附件：商务响应方案.docx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