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7504C">
      <w:pPr>
        <w:spacing w:line="600" w:lineRule="exact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商务响应方案</w:t>
      </w:r>
    </w:p>
    <w:p w14:paraId="649BB5AC">
      <w:pPr>
        <w:tabs>
          <w:tab w:val="left" w:pos="1260"/>
        </w:tabs>
        <w:spacing w:line="720" w:lineRule="auto"/>
        <w:ind w:firstLine="480" w:firstLineChars="200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商务响应方案的主要内容：</w:t>
      </w:r>
    </w:p>
    <w:p w14:paraId="0555A79F">
      <w:pPr>
        <w:tabs>
          <w:tab w:val="left" w:pos="1260"/>
        </w:tabs>
        <w:spacing w:line="720" w:lineRule="auto"/>
        <w:ind w:firstLine="480" w:firstLineChars="200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企业简介。</w:t>
      </w:r>
    </w:p>
    <w:p w14:paraId="44F8D6C8">
      <w:pPr>
        <w:tabs>
          <w:tab w:val="left" w:pos="1260"/>
        </w:tabs>
        <w:spacing w:line="720" w:lineRule="auto"/>
        <w:ind w:firstLine="480" w:firstLineChars="200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供应商商务响应与合同条款说明（参照《商务及合同主要条款》）；</w:t>
      </w:r>
    </w:p>
    <w:p w14:paraId="1F418032">
      <w:pPr>
        <w:tabs>
          <w:tab w:val="left" w:pos="1260"/>
        </w:tabs>
        <w:spacing w:line="720" w:lineRule="auto"/>
        <w:ind w:firstLine="480" w:firstLineChars="200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业绩；</w:t>
      </w:r>
    </w:p>
    <w:p w14:paraId="343B30A8">
      <w:pPr>
        <w:ind w:firstLine="480" w:firstLineChars="200"/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有必要说明的商务事宜。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5263A"/>
    <w:rsid w:val="5185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2025-06-26T03:14:00Z</dcterms:created>
  <dc:creator>陕西炬荣招标代理有限公司  （主锁1）</dc:creator>
  <cp:lastModifiedBy>陕西炬荣招标代理有限公司  （主锁1）</cp:lastModifiedBy>
  <dcterms:modified xsi:type="dcterms:W3CDTF">2025-06-26T03:15:23Z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7F6DCE4E400748E0B2564C6B50C4330E_11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