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版本号：ZMZB2025XBDX-16420250703003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幼儿园户外活动场地改造项目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ZMZB2025XBDX-164</w:t>
      </w:r>
      <w:r>
        <w:br/>
      </w:r>
      <w:r>
        <w:br/>
      </w:r>
      <w:r>
        <w:br/>
      </w:r>
    </w:p>
    <w:p>
      <w:pPr>
        <w:pStyle w:val="null3"/>
        <w:jc w:val="center"/>
        <w:outlineLvl w:val="2"/>
      </w:pPr>
      <w:r>
        <w:rPr>
          <w:rFonts w:ascii="仿宋_GB2312" w:hAnsi="仿宋_GB2312" w:cs="仿宋_GB2312" w:eastAsia="仿宋_GB2312"/>
          <w:sz w:val="28"/>
          <w:b/>
        </w:rPr>
        <w:t>西北大学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西北大学</w:t>
      </w:r>
      <w:r>
        <w:rPr>
          <w:rFonts w:ascii="仿宋_GB2312" w:hAnsi="仿宋_GB2312" w:cs="仿宋_GB2312" w:eastAsia="仿宋_GB2312"/>
        </w:rPr>
        <w:t>委托，拟对</w:t>
      </w:r>
      <w:r>
        <w:rPr>
          <w:rFonts w:ascii="仿宋_GB2312" w:hAnsi="仿宋_GB2312" w:cs="仿宋_GB2312" w:eastAsia="仿宋_GB2312"/>
        </w:rPr>
        <w:t>幼儿园户外活动场地改造项目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ZMZB2025XBDX-164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幼儿园户外活动场地改造项目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幼儿园户外活动场地改造项目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采购包1（幼儿园户外活动场地改造项目）：属于专门面向中小企业采购。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 2023 年度或 2024 年度经审计完整的财务审计报告（成立时间至提交响应文件截止时间不足一年的可提供成立后任意时段的资产负债表），或其开标前三个月内 银行出具的资信证明，或财政部门认可的政府采购专业担保机构出具的响应担保函；（注：①提供财务报告的，内容至少包括审计报告、附注。②提供资信证明的，必须提供资信证明全部页以及基本户信息 （提供开户许可证或提供基本银行账户信息）。银行出具的存款证明不能代替资信证明。）</w:t>
      </w:r>
    </w:p>
    <w:p>
      <w:pPr>
        <w:pStyle w:val="null3"/>
      </w:pPr>
      <w:r>
        <w:rPr>
          <w:rFonts w:ascii="仿宋_GB2312" w:hAnsi="仿宋_GB2312" w:cs="仿宋_GB2312" w:eastAsia="仿宋_GB2312"/>
        </w:rPr>
        <w:t>3、税收缴纳证明：提供 2024 年 6 月（含 6 月）以来任意时间段的依法缴纳税收的相关凭据（时 间以税款所属时期为准），凭据应有税务机关或代收机关的公章或业务专用章。依法免税或无须缴纳税收的应提供说明；成立不足一个月的提供将依法纳税的承诺书(格式自拟)。（注:①零报税的提供申报成功的凭证。②时间以税款所属时段为准。）</w:t>
      </w:r>
    </w:p>
    <w:p>
      <w:pPr>
        <w:pStyle w:val="null3"/>
      </w:pPr>
      <w:r>
        <w:rPr>
          <w:rFonts w:ascii="仿宋_GB2312" w:hAnsi="仿宋_GB2312" w:cs="仿宋_GB2312" w:eastAsia="仿宋_GB2312"/>
        </w:rPr>
        <w:t>4、社会保障资金缴纳证明：提供 2024 年 6 月（含 6 月）以来任意时间段的社会保障资金缴存单 据或社保机构开具的社会保险参保缴费情况证明。依法不需要缴纳社会保障资金的供应商应提供 相关文件证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6、参加采购活动前 3 年内在经营活动中没有重大违法记录的书面声明：参加采购活动前 3 年内在经营活动中没有重大违法记录的书面声明</w:t>
      </w:r>
    </w:p>
    <w:p>
      <w:pPr>
        <w:pStyle w:val="null3"/>
      </w:pPr>
      <w:r>
        <w:rPr>
          <w:rFonts w:ascii="仿宋_GB2312" w:hAnsi="仿宋_GB2312" w:cs="仿宋_GB2312" w:eastAsia="仿宋_GB2312"/>
        </w:rPr>
        <w:t>7、法定代表人委托授权书：非法定代表人参加磋商的，须提供法定代表人委托授权书，法定代表人参加磋商时,只须提供法定代表人身份证</w:t>
      </w:r>
    </w:p>
    <w:p>
      <w:pPr>
        <w:pStyle w:val="null3"/>
      </w:pPr>
      <w:r>
        <w:rPr>
          <w:rFonts w:ascii="仿宋_GB2312" w:hAnsi="仿宋_GB2312" w:cs="仿宋_GB2312" w:eastAsia="仿宋_GB2312"/>
        </w:rPr>
        <w:t>8、施工资质：供应商须具备有效的国家建设行政主管部门颁发的建筑工程施工总承包三级或市政公用工程施工总承包三级及以上资质及安全生产许可证</w:t>
      </w:r>
    </w:p>
    <w:p>
      <w:pPr>
        <w:pStyle w:val="null3"/>
      </w:pPr>
      <w:r>
        <w:rPr>
          <w:rFonts w:ascii="仿宋_GB2312" w:hAnsi="仿宋_GB2312" w:cs="仿宋_GB2312" w:eastAsia="仿宋_GB2312"/>
        </w:rPr>
        <w:t>9、外地企业备案：外地企业提供在“陕西省建筑市场监管与诚信信息一体化平台”上登记的基本信息界面截图</w:t>
      </w:r>
    </w:p>
    <w:p>
      <w:pPr>
        <w:pStyle w:val="null3"/>
      </w:pPr>
      <w:r>
        <w:rPr>
          <w:rFonts w:ascii="仿宋_GB2312" w:hAnsi="仿宋_GB2312" w:cs="仿宋_GB2312" w:eastAsia="仿宋_GB2312"/>
        </w:rPr>
        <w:t>10、项目经理资格：拟投入的项目经理须提供在本单位注册的建筑工程或市政公用工程专业二级及以上注册建造师证书及有效的安全生产考核合格证，并提供无在建项目承诺</w:t>
      </w:r>
    </w:p>
    <w:p>
      <w:pPr>
        <w:pStyle w:val="null3"/>
      </w:pPr>
      <w:r>
        <w:rPr>
          <w:rFonts w:ascii="仿宋_GB2312" w:hAnsi="仿宋_GB2312" w:cs="仿宋_GB2312" w:eastAsia="仿宋_GB2312"/>
        </w:rPr>
        <w:t>11、本项目不接受联合体响应：本项目不接受联合体响应</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西北大学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西安市长安区郭杜教育科技产业区学府大道1号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029-88302595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 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董菊莉 张倩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混凝土</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说明：合同签订前缴纳，缴纳金额为合同金额的5%；缴纳方式：银行转账、支票/汇票/本票、保函/保险 ；退还方式：工程竣工验收合格后凭收据和验收单复印件无息退还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代理服务费收费标准：参照国家计委颁布的《招标代理服务收费管理暂行办法》（计价格[2002]1980号）和发改办价格[2003]857号文件等法律法规规定的计价标准80%收取。 供应商将招标代理服务费计入响应报价但不单独列明，中标单位在领取中标通知书前，须向采购代理机构一次性支付招标代理服务费；代理服务费以转账、电汇或现金等形式交纳。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踏勘时间：2025-07-04 14:30:00</w:t>
            </w:r>
          </w:p>
          <w:p>
            <w:pPr>
              <w:pStyle w:val="null3"/>
              <w:ind w:firstLine="975"/>
            </w:pPr>
            <w:r>
              <w:rPr>
                <w:rFonts w:ascii="仿宋_GB2312" w:hAnsi="仿宋_GB2312" w:cs="仿宋_GB2312" w:eastAsia="仿宋_GB2312"/>
              </w:rPr>
              <w:t>踏勘地点：西北大学附属幼儿园（太白北路229号）</w:t>
            </w:r>
          </w:p>
          <w:p>
            <w:pPr>
              <w:pStyle w:val="null3"/>
              <w:ind w:firstLine="975"/>
            </w:pPr>
            <w:r>
              <w:rPr>
                <w:rFonts w:ascii="仿宋_GB2312" w:hAnsi="仿宋_GB2312" w:cs="仿宋_GB2312" w:eastAsia="仿宋_GB2312"/>
              </w:rPr>
              <w:t>联系人：董菊莉 张倩</w:t>
            </w:r>
          </w:p>
          <w:p>
            <w:pPr>
              <w:pStyle w:val="null3"/>
              <w:ind w:firstLine="975"/>
            </w:pPr>
            <w:r>
              <w:rPr>
                <w:rFonts w:ascii="仿宋_GB2312" w:hAnsi="仿宋_GB2312" w:cs="仿宋_GB2312" w:eastAsia="仿宋_GB2312"/>
              </w:rPr>
              <w:t>联系电话号码：17778966062</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西北大学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西北大学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西北大学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按照采购文件、响应文件及合同条款执行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联系人：董菊莉</w:t>
      </w:r>
    </w:p>
    <w:p>
      <w:pPr>
        <w:pStyle w:val="null3"/>
      </w:pPr>
      <w:r>
        <w:rPr>
          <w:rFonts w:ascii="仿宋_GB2312" w:hAnsi="仿宋_GB2312" w:cs="仿宋_GB2312" w:eastAsia="仿宋_GB2312"/>
        </w:rPr>
        <w:t>联系电话：177 7896 6062</w:t>
      </w:r>
    </w:p>
    <w:p>
      <w:pPr>
        <w:pStyle w:val="null3"/>
      </w:pPr>
      <w:r>
        <w:rPr>
          <w:rFonts w:ascii="仿宋_GB2312" w:hAnsi="仿宋_GB2312" w:cs="仿宋_GB2312" w:eastAsia="仿宋_GB2312"/>
        </w:rPr>
        <w:t>地址：西安市雁塔区科技路 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550,000.00</w:t>
      </w:r>
    </w:p>
    <w:p>
      <w:pPr>
        <w:pStyle w:val="null3"/>
      </w:pPr>
      <w:r>
        <w:rPr>
          <w:rFonts w:ascii="仿宋_GB2312" w:hAnsi="仿宋_GB2312" w:cs="仿宋_GB2312" w:eastAsia="仿宋_GB2312"/>
        </w:rPr>
        <w:t>采购包最高限价（元）: 550,000.00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幼儿园户外活动场地改造项目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550,000.00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标的名称：幼儿园户外活动场地改造项目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color w:val="000000"/>
              </w:rPr>
              <w:t>一、</w:t>
            </w:r>
            <w:r>
              <w:rPr>
                <w:rFonts w:ascii="仿宋_GB2312" w:hAnsi="仿宋_GB2312" w:cs="仿宋_GB2312" w:eastAsia="仿宋_GB2312"/>
                <w:sz w:val="24"/>
                <w:color w:val="000000"/>
              </w:rPr>
              <w:t>采购标的需实现的功能或者目标</w:t>
            </w:r>
          </w:p>
          <w:p>
            <w:pPr>
              <w:pStyle w:val="null3"/>
              <w:jc w:val="both"/>
            </w:pPr>
            <w:r>
              <w:rPr>
                <w:rFonts w:ascii="仿宋_GB2312" w:hAnsi="仿宋_GB2312" w:cs="仿宋_GB2312" w:eastAsia="仿宋_GB2312"/>
                <w:sz w:val="24"/>
                <w:color w:val="000000"/>
              </w:rPr>
              <w:t>1.西北大学附属幼儿园：更换现有土质活动场地，进行地面基础施工，铺设预制型橡胶卷材地面。</w:t>
            </w:r>
          </w:p>
          <w:p>
            <w:pPr>
              <w:pStyle w:val="null3"/>
              <w:jc w:val="both"/>
            </w:pPr>
            <w:r>
              <w:rPr>
                <w:rFonts w:ascii="仿宋_GB2312" w:hAnsi="仿宋_GB2312" w:cs="仿宋_GB2312" w:eastAsia="仿宋_GB2312"/>
                <w:sz w:val="24"/>
                <w:color w:val="000000"/>
              </w:rPr>
              <w:t>2.西北大学（长安校区）幼儿园：整个户外场地铺设预制型橡胶卷材地面。</w:t>
            </w:r>
          </w:p>
          <w:p>
            <w:pPr>
              <w:pStyle w:val="null3"/>
              <w:jc w:val="both"/>
            </w:pPr>
            <w:r>
              <w:rPr>
                <w:rFonts w:ascii="仿宋_GB2312" w:hAnsi="仿宋_GB2312" w:cs="仿宋_GB2312" w:eastAsia="仿宋_GB2312"/>
                <w:sz w:val="24"/>
                <w:color w:val="000000"/>
              </w:rPr>
              <w:t>3.满足幼儿户外活动需求。</w:t>
            </w:r>
          </w:p>
          <w:p>
            <w:pPr>
              <w:pStyle w:val="null3"/>
              <w:jc w:val="both"/>
            </w:pPr>
            <w:r>
              <w:rPr>
                <w:rFonts w:ascii="仿宋_GB2312" w:hAnsi="仿宋_GB2312" w:cs="仿宋_GB2312" w:eastAsia="仿宋_GB2312"/>
                <w:sz w:val="24"/>
                <w:b/>
                <w:color w:val="000000"/>
              </w:rPr>
              <w:t>二、采购标的需执行的国家相关标准、行业标准、地方标准或者其他标准、规范</w:t>
            </w:r>
          </w:p>
          <w:p>
            <w:pPr>
              <w:pStyle w:val="null3"/>
              <w:jc w:val="both"/>
            </w:pPr>
            <w:r>
              <w:rPr>
                <w:rFonts w:ascii="仿宋_GB2312" w:hAnsi="仿宋_GB2312" w:cs="仿宋_GB2312" w:eastAsia="仿宋_GB2312"/>
                <w:sz w:val="24"/>
                <w:color w:val="000000"/>
              </w:rPr>
              <w:t>1、投标产品物理性能和环保性能需通过GB36246-2018《中小学合成材料面层运动场地》的合格检测报告。</w:t>
            </w:r>
          </w:p>
          <w:p>
            <w:pPr>
              <w:pStyle w:val="null3"/>
              <w:jc w:val="both"/>
            </w:pPr>
            <w:r>
              <w:rPr>
                <w:rFonts w:ascii="仿宋_GB2312" w:hAnsi="仿宋_GB2312" w:cs="仿宋_GB2312" w:eastAsia="仿宋_GB2312"/>
                <w:sz w:val="24"/>
                <w:b/>
                <w:color w:val="000000"/>
              </w:rPr>
              <w:t>三、</w:t>
            </w:r>
            <w:r>
              <w:rPr>
                <w:rFonts w:ascii="仿宋_GB2312" w:hAnsi="仿宋_GB2312" w:cs="仿宋_GB2312" w:eastAsia="仿宋_GB2312"/>
                <w:sz w:val="24"/>
                <w:b/>
                <w:color w:val="000000"/>
              </w:rPr>
              <w:t>施工范围及工作内容</w:t>
            </w:r>
          </w:p>
          <w:tbl>
            <w:tblPr>
              <w:tblInd w:type="dxa" w:w="90"/>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2555"/>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幼儿园户外活动场地改造工程项目工程量清单</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项目名称</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备注</w:t>
                  </w:r>
                </w:p>
              </w:tc>
            </w:tr>
            <w:tr>
              <w:tc>
                <w:tcPr>
                  <w:tcW w:type="dxa" w:w="2555"/>
                  <w:gridSpan w:val="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西北大学附属幼儿园户外活动场地</w:t>
                  </w:r>
                </w:p>
              </w:tc>
            </w:tr>
            <w:tr>
              <w:tc>
                <w:tcPr>
                  <w:tcW w:type="dxa" w:w="5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1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场地保护</w:t>
                  </w:r>
                </w:p>
              </w:tc>
              <w:tc>
                <w:tcPr>
                  <w:tcW w:type="dxa" w:w="51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51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1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1.在施工区域周边设置高度不低于 1.2 米的防护围栏，并张贴明显的警示标识。</w:t>
                  </w:r>
                  <w:r>
                    <w:br/>
                  </w:r>
                  <w:r>
                    <w:rPr>
                      <w:rFonts w:ascii="仿宋_GB2312" w:hAnsi="仿宋_GB2312" w:cs="仿宋_GB2312" w:eastAsia="仿宋_GB2312"/>
                      <w:sz w:val="20"/>
                    </w:rPr>
                    <w:t>2.对园内的公共设施、绿植等采用防护网、塑料薄膜等进行覆盖包裹</w:t>
                  </w:r>
                </w:p>
              </w:tc>
            </w:tr>
            <w:tr>
              <w:tc>
                <w:tcPr>
                  <w:tcW w:type="dxa" w:w="5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基础</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270</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[项目特征]</w:t>
                  </w:r>
                  <w:r>
                    <w:br/>
                  </w:r>
                  <w:r>
                    <w:rPr>
                      <w:rFonts w:ascii="仿宋_GB2312" w:hAnsi="仿宋_GB2312" w:cs="仿宋_GB2312" w:eastAsia="仿宋_GB2312"/>
                      <w:sz w:val="20"/>
                    </w:rPr>
                    <w:t>1.30cm厚原土铲除</w:t>
                  </w:r>
                  <w:r>
                    <w:br/>
                  </w:r>
                  <w:r>
                    <w:rPr>
                      <w:rFonts w:ascii="仿宋_GB2312" w:hAnsi="仿宋_GB2312" w:cs="仿宋_GB2312" w:eastAsia="仿宋_GB2312"/>
                      <w:sz w:val="20"/>
                    </w:rPr>
                    <w:t>2.混凝土强度等级：C25</w:t>
                  </w:r>
                  <w:r>
                    <w:br/>
                  </w:r>
                  <w:r>
                    <w:rPr>
                      <w:rFonts w:ascii="仿宋_GB2312" w:hAnsi="仿宋_GB2312" w:cs="仿宋_GB2312" w:eastAsia="仿宋_GB2312"/>
                      <w:sz w:val="20"/>
                    </w:rPr>
                    <w:t>3.厚度：30cm</w:t>
                  </w:r>
                  <w:r>
                    <w:br/>
                  </w:r>
                  <w:r>
                    <w:rPr>
                      <w:rFonts w:ascii="仿宋_GB2312" w:hAnsi="仿宋_GB2312" w:cs="仿宋_GB2312" w:eastAsia="仿宋_GB2312"/>
                      <w:sz w:val="20"/>
                    </w:rPr>
                    <w:t>4.混凝土表面覆盖塑料薄膜或草帘，并定期浇水保持 湿润，养护时间不少于14天，待地面完全干燥后， 方可进行后续的预制型橡胶跑道铺设工作。</w:t>
                  </w:r>
                  <w:r>
                    <w:br/>
                  </w:r>
                  <w:r>
                    <w:rPr>
                      <w:rFonts w:ascii="仿宋_GB2312" w:hAnsi="仿宋_GB2312" w:cs="仿宋_GB2312" w:eastAsia="仿宋_GB2312"/>
                      <w:sz w:val="20"/>
                    </w:rPr>
                    <w:t>[工作内容]</w:t>
                  </w:r>
                  <w:r>
                    <w:br/>
                  </w:r>
                  <w:r>
                    <w:rPr>
                      <w:rFonts w:ascii="仿宋_GB2312" w:hAnsi="仿宋_GB2312" w:cs="仿宋_GB2312" w:eastAsia="仿宋_GB2312"/>
                      <w:sz w:val="20"/>
                    </w:rPr>
                    <w:t>1.原土铲除并弃置</w:t>
                  </w:r>
                  <w:r>
                    <w:br/>
                  </w:r>
                  <w:r>
                    <w:rPr>
                      <w:rFonts w:ascii="仿宋_GB2312" w:hAnsi="仿宋_GB2312" w:cs="仿宋_GB2312" w:eastAsia="仿宋_GB2312"/>
                      <w:sz w:val="20"/>
                    </w:rPr>
                    <w:t>2.现浇基础</w:t>
                  </w:r>
                  <w:r>
                    <w:br/>
                  </w:r>
                  <w:r>
                    <w:rPr>
                      <w:rFonts w:ascii="仿宋_GB2312" w:hAnsi="仿宋_GB2312" w:cs="仿宋_GB2312" w:eastAsia="仿宋_GB2312"/>
                      <w:sz w:val="20"/>
                    </w:rPr>
                    <w:t>3.混凝土养护：在混凝土终凝后（表面能抵抗轻微损伤时），立即用吸水性好的材料（如麻袋片、草帘、土工布、无纺布）覆盖，并定期向覆盖物上洒水，使其始终保持湿润状态。</w:t>
                  </w:r>
                  <w:r>
                    <w:br/>
                  </w:r>
                  <w:r>
                    <w:rPr>
                      <w:rFonts w:ascii="仿宋_GB2312" w:hAnsi="仿宋_GB2312" w:cs="仿宋_GB2312" w:eastAsia="仿宋_GB2312"/>
                      <w:sz w:val="20"/>
                    </w:rPr>
                    <w:t>蓄水养护：对于表面积水不易流失的水平结构（如地坪、楼板、基础底板、水池底板），可在周边砌筑临时小围堰蓄水养护。</w:t>
                  </w:r>
                  <w:r>
                    <w:br/>
                  </w:r>
                  <w:r>
                    <w:rPr>
                      <w:rFonts w:ascii="仿宋_GB2312" w:hAnsi="仿宋_GB2312" w:cs="仿宋_GB2312" w:eastAsia="仿宋_GB2312"/>
                      <w:sz w:val="20"/>
                    </w:rPr>
                    <w:t>喷雾养护：使用喷雾器向混凝土表面喷洒细水雾，适用于大面积或不易覆盖的结构，但需注意避免过度冲刷表面。</w:t>
                  </w:r>
                  <w:r>
                    <w:br/>
                  </w:r>
                  <w:r>
                    <w:rPr>
                      <w:rFonts w:ascii="仿宋_GB2312" w:hAnsi="仿宋_GB2312" w:cs="仿宋_GB2312" w:eastAsia="仿宋_GB2312"/>
                      <w:sz w:val="20"/>
                    </w:rPr>
                    <w:t>湿砂覆盖：在混凝土表面铺设湿砂层并保持湿润。</w:t>
                  </w:r>
                  <w:r>
                    <w:br/>
                  </w:r>
                  <w:r>
                    <w:rPr>
                      <w:rFonts w:ascii="仿宋_GB2312" w:hAnsi="仿宋_GB2312" w:cs="仿宋_GB2312" w:eastAsia="仿宋_GB2312"/>
                      <w:sz w:val="20"/>
                    </w:rPr>
                    <w:t>防止水分流失（密封）</w:t>
                  </w:r>
                  <w:r>
                    <w:br/>
                  </w:r>
                  <w:r>
                    <w:rPr>
                      <w:rFonts w:ascii="仿宋_GB2312" w:hAnsi="仿宋_GB2312" w:cs="仿宋_GB2312" w:eastAsia="仿宋_GB2312"/>
                      <w:sz w:val="20"/>
                    </w:rPr>
                    <w:t>薄膜覆盖养护：在混凝土终凝后，立即覆盖专用的养护薄膜（通常是白色塑料薄膜或透明薄膜）。薄膜必须铺盖严密，边缘压实，形成密封层，利用混凝土自身蒸发的水分在膜下形成湿润环境。需检查薄膜是否破损并及时修补。</w:t>
                  </w:r>
                </w:p>
              </w:tc>
            </w:tr>
            <w:tr>
              <w:tc>
                <w:tcPr>
                  <w:tcW w:type="dxa" w:w="5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卷材地面</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270</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[项目特征]</w:t>
                  </w:r>
                  <w:r>
                    <w:br/>
                  </w:r>
                  <w:r>
                    <w:rPr>
                      <w:rFonts w:ascii="仿宋_GB2312" w:hAnsi="仿宋_GB2312" w:cs="仿宋_GB2312" w:eastAsia="仿宋_GB2312"/>
                      <w:sz w:val="20"/>
                    </w:rPr>
                    <w:t>1.面层材料品种、规格：13mm卷材铺装：A、材料：13㎜厚，1.22米宽，每卷长约15米，暗红色，粘接胶。</w:t>
                  </w:r>
                  <w:r>
                    <w:br/>
                  </w:r>
                  <w:r>
                    <w:rPr>
                      <w:rFonts w:ascii="仿宋_GB2312" w:hAnsi="仿宋_GB2312" w:cs="仿宋_GB2312" w:eastAsia="仿宋_GB2312"/>
                      <w:sz w:val="20"/>
                    </w:rPr>
                    <w:t>B、将专用粘接胶料搅拌均匀后倒入已定位好的并经过试铺的道位场地上（试铺后原地收卷），按每卷卷材的宽度和长度用刮耙或镘刀将粘接胶刮匀，胶料的用量约为1.3㎏/㎡，然后将橡胶卷材滚铺粘贴上。滚铺时，边滚铺边用滚压筒在卷材面上滚压，赶出空气，提高胶粘效果。然后在铺设完的卷材周边上压上红砖，确保周边粘接牢固。</w:t>
                  </w:r>
                  <w:r>
                    <w:br/>
                  </w:r>
                  <w:r>
                    <w:rPr>
                      <w:rFonts w:ascii="仿宋_GB2312" w:hAnsi="仿宋_GB2312" w:cs="仿宋_GB2312" w:eastAsia="仿宋_GB2312"/>
                      <w:sz w:val="20"/>
                    </w:rPr>
                    <w:t>C、粘接时，纵向接口采用平接推挤法施工，横向接口采用预长推挤法施工（预长3～5㎜左右），尽量做到接缝处无缝口。</w:t>
                  </w:r>
                  <w:r>
                    <w:br/>
                  </w:r>
                  <w:r>
                    <w:rPr>
                      <w:rFonts w:ascii="仿宋_GB2312" w:hAnsi="仿宋_GB2312" w:cs="仿宋_GB2312" w:eastAsia="仿宋_GB2312"/>
                      <w:sz w:val="20"/>
                    </w:rPr>
                    <w:t>D、粘接时，注意接缝处的粘接胶应饱满。刮粘接胶时，在纵或横向接缝处，要用镘刀在接缝处刮胶，即在已铺卷材接口处的侧面将胶料多刮一些，成一定斜角，以铺贴卷材接缝后不溢出为度来控制接缝处胶料的用量。若出现溢胶，应及时清理干净。</w:t>
                  </w:r>
                  <w:r>
                    <w:br/>
                  </w:r>
                  <w:r>
                    <w:rPr>
                      <w:rFonts w:ascii="仿宋_GB2312" w:hAnsi="仿宋_GB2312" w:cs="仿宋_GB2312" w:eastAsia="仿宋_GB2312"/>
                      <w:sz w:val="20"/>
                    </w:rPr>
                    <w:t>E、弯道粘接时，采用延弧自然顺铺法进行铺设。施工时，每条铺设后，在内弧处会有一部位轻向上拱起，是正常现象，只须稍微施力压平即可。另外，应特别注意接口处的固定，必要时采用加水泥钉固定法固定，待粘接牢固后再拔去钉子。</w:t>
                  </w:r>
                  <w:r>
                    <w:br/>
                  </w:r>
                  <w:r>
                    <w:rPr>
                      <w:rFonts w:ascii="仿宋_GB2312" w:hAnsi="仿宋_GB2312" w:cs="仿宋_GB2312" w:eastAsia="仿宋_GB2312"/>
                      <w:sz w:val="20"/>
                    </w:rPr>
                    <w:t>F、对前一天完成的跑道纵横向接缝口进行检查，发现接缝口有未灌满胶的，即可采用手压枪压胶法打胶压填纵横向接缝，待干固后用割刀修平。</w:t>
                  </w:r>
                  <w:r>
                    <w:br/>
                  </w:r>
                  <w:r>
                    <w:rPr>
                      <w:rFonts w:ascii="仿宋_GB2312" w:hAnsi="仿宋_GB2312" w:cs="仿宋_GB2312" w:eastAsia="仿宋_GB2312"/>
                      <w:sz w:val="20"/>
                    </w:rPr>
                    <w:t>2.跑道线，点位线等：（1）材料：弹性橡胶画线漆。材：料特点：耐磨，不变色，附着力强。</w:t>
                  </w:r>
                  <w:r>
                    <w:br/>
                  </w:r>
                  <w:r>
                    <w:rPr>
                      <w:rFonts w:ascii="仿宋_GB2312" w:hAnsi="仿宋_GB2312" w:cs="仿宋_GB2312" w:eastAsia="仿宋_GB2312"/>
                      <w:sz w:val="20"/>
                    </w:rPr>
                    <w:t>（</w:t>
                  </w:r>
                  <w:r>
                    <w:rPr>
                      <w:rFonts w:ascii="仿宋_GB2312" w:hAnsi="仿宋_GB2312" w:cs="仿宋_GB2312" w:eastAsia="仿宋_GB2312"/>
                      <w:sz w:val="20"/>
                    </w:rPr>
                    <w:t>2）用鉴定过的钢尺，全站仪放设点位线，各点位数据按照国际田径联合会（IAAF）标准400M田径场标线规范及体育工艺的要求进行标线，内控相对误差为±0—±1/10000。</w:t>
                  </w:r>
                  <w:r>
                    <w:br/>
                  </w:r>
                  <w:r>
                    <w:rPr>
                      <w:rFonts w:ascii="仿宋_GB2312" w:hAnsi="仿宋_GB2312" w:cs="仿宋_GB2312" w:eastAsia="仿宋_GB2312"/>
                      <w:sz w:val="20"/>
                    </w:rPr>
                    <w:t>（</w:t>
                  </w:r>
                  <w:r>
                    <w:rPr>
                      <w:rFonts w:ascii="仿宋_GB2312" w:hAnsi="仿宋_GB2312" w:cs="仿宋_GB2312" w:eastAsia="仿宋_GB2312"/>
                      <w:sz w:val="20"/>
                    </w:rPr>
                    <w:t>3）按点位线及色别喷漆。</w:t>
                  </w:r>
                  <w:r>
                    <w:br/>
                  </w:r>
                  <w:r>
                    <w:rPr>
                      <w:rFonts w:ascii="仿宋_GB2312" w:hAnsi="仿宋_GB2312" w:cs="仿宋_GB2312" w:eastAsia="仿宋_GB2312"/>
                      <w:sz w:val="20"/>
                    </w:rPr>
                    <w:t>（</w:t>
                  </w:r>
                  <w:r>
                    <w:rPr>
                      <w:rFonts w:ascii="仿宋_GB2312" w:hAnsi="仿宋_GB2312" w:cs="仿宋_GB2312" w:eastAsia="仿宋_GB2312"/>
                      <w:sz w:val="20"/>
                    </w:rPr>
                    <w:t>4）标志线的喷划注意事项：</w:t>
                  </w:r>
                  <w:r>
                    <w:br/>
                  </w:r>
                  <w:r>
                    <w:rPr>
                      <w:rFonts w:ascii="仿宋_GB2312" w:hAnsi="仿宋_GB2312" w:cs="仿宋_GB2312" w:eastAsia="仿宋_GB2312"/>
                      <w:sz w:val="20"/>
                    </w:rPr>
                    <w:t>A、按划线数据测量、确定各种标志线的位置，反复测量，校核确认无误已达要求的精确度，方可用大头针在塑胶面层上做划线记号，用墨线弹出底线。</w:t>
                  </w:r>
                  <w:r>
                    <w:br/>
                  </w:r>
                  <w:r>
                    <w:rPr>
                      <w:rFonts w:ascii="仿宋_GB2312" w:hAnsi="仿宋_GB2312" w:cs="仿宋_GB2312" w:eastAsia="仿宋_GB2312"/>
                      <w:sz w:val="20"/>
                    </w:rPr>
                    <w:t>B、放线后须经体育工艺复核，角度部分用放射线长度进行校核，直线部分用鉴定过的钢尺（包括尺长校正、温度校正）进行复核，确认符合标准后，方可进行喷线。</w:t>
                  </w:r>
                  <w:r>
                    <w:br/>
                  </w:r>
                  <w:r>
                    <w:rPr>
                      <w:rFonts w:ascii="仿宋_GB2312" w:hAnsi="仿宋_GB2312" w:cs="仿宋_GB2312" w:eastAsia="仿宋_GB2312"/>
                      <w:sz w:val="20"/>
                    </w:rPr>
                    <w:t>C、喷线时，要反复检查喷线木盒的宽度是否符合田联的规定(线宽为50mm)，如不符合必须及时调整。</w:t>
                  </w:r>
                  <w:r>
                    <w:br/>
                  </w:r>
                  <w:r>
                    <w:rPr>
                      <w:rFonts w:ascii="仿宋_GB2312" w:hAnsi="仿宋_GB2312" w:cs="仿宋_GB2312" w:eastAsia="仿宋_GB2312"/>
                      <w:sz w:val="20"/>
                    </w:rPr>
                    <w:t>D、喷线操作人员应掌握好喷枪离塑胶面距离和角度，以便线条的美观，要求线条清晰、色泽均匀、无明显接缝、无毛边。 [工作内容]</w:t>
                  </w:r>
                  <w:r>
                    <w:br/>
                  </w:r>
                  <w:r>
                    <w:rPr>
                      <w:rFonts w:ascii="仿宋_GB2312" w:hAnsi="仿宋_GB2312" w:cs="仿宋_GB2312" w:eastAsia="仿宋_GB2312"/>
                      <w:sz w:val="20"/>
                    </w:rPr>
                    <w:t>1.基础打磨找平处理：（1）对已铺设完毕的沥青砼基础进行平整度误差测试，用三米直尺检测误差不得超过3mm。</w:t>
                  </w:r>
                  <w:r>
                    <w:br/>
                  </w:r>
                  <w:r>
                    <w:rPr>
                      <w:rFonts w:ascii="仿宋_GB2312" w:hAnsi="仿宋_GB2312" w:cs="仿宋_GB2312" w:eastAsia="仿宋_GB2312"/>
                      <w:sz w:val="20"/>
                    </w:rPr>
                    <w:t>（</w:t>
                  </w:r>
                  <w:r>
                    <w:rPr>
                      <w:rFonts w:ascii="仿宋_GB2312" w:hAnsi="仿宋_GB2312" w:cs="仿宋_GB2312" w:eastAsia="仿宋_GB2312"/>
                      <w:sz w:val="20"/>
                    </w:rPr>
                    <w:t>2）对已铺设完毕的沥青砼基础进行密实度测试，密实度小于95%均需做密实度加强处理（通常细沥青砼配合比在AC10及大于AC10的密实度均需处理）。</w:t>
                  </w:r>
                  <w:r>
                    <w:br/>
                  </w:r>
                  <w:r>
                    <w:rPr>
                      <w:rFonts w:ascii="仿宋_GB2312" w:hAnsi="仿宋_GB2312" w:cs="仿宋_GB2312" w:eastAsia="仿宋_GB2312"/>
                      <w:sz w:val="20"/>
                    </w:rPr>
                    <w:t>（</w:t>
                  </w:r>
                  <w:r>
                    <w:rPr>
                      <w:rFonts w:ascii="仿宋_GB2312" w:hAnsi="仿宋_GB2312" w:cs="仿宋_GB2312" w:eastAsia="仿宋_GB2312"/>
                      <w:sz w:val="20"/>
                    </w:rPr>
                    <w:t>3）对局部平整度误差超过3mm及有积水的部位，采用打磨或填补的方法进行处理，至合格为止。</w:t>
                  </w:r>
                  <w:r>
                    <w:br/>
                  </w:r>
                  <w:r>
                    <w:rPr>
                      <w:rFonts w:ascii="仿宋_GB2312" w:hAnsi="仿宋_GB2312" w:cs="仿宋_GB2312" w:eastAsia="仿宋_GB2312"/>
                      <w:sz w:val="20"/>
                    </w:rPr>
                    <w:t>（</w:t>
                  </w:r>
                  <w:r>
                    <w:rPr>
                      <w:rFonts w:ascii="仿宋_GB2312" w:hAnsi="仿宋_GB2312" w:cs="仿宋_GB2312" w:eastAsia="仿宋_GB2312"/>
                      <w:sz w:val="20"/>
                    </w:rPr>
                    <w:t>4）打磨法---将局部超高处用水磨石机进行打磨。</w:t>
                  </w:r>
                  <w:r>
                    <w:br/>
                  </w:r>
                  <w:r>
                    <w:rPr>
                      <w:rFonts w:ascii="仿宋_GB2312" w:hAnsi="仿宋_GB2312" w:cs="仿宋_GB2312" w:eastAsia="仿宋_GB2312"/>
                      <w:sz w:val="20"/>
                    </w:rPr>
                    <w:t>（</w:t>
                  </w:r>
                  <w:r>
                    <w:rPr>
                      <w:rFonts w:ascii="仿宋_GB2312" w:hAnsi="仿宋_GB2312" w:cs="仿宋_GB2312" w:eastAsia="仿宋_GB2312"/>
                      <w:sz w:val="20"/>
                    </w:rPr>
                    <w:t>5）填补法---采用专用补平胶（自流平胶）补平。</w:t>
                  </w:r>
                  <w:r>
                    <w:br/>
                  </w:r>
                  <w:r>
                    <w:rPr>
                      <w:rFonts w:ascii="仿宋_GB2312" w:hAnsi="仿宋_GB2312" w:cs="仿宋_GB2312" w:eastAsia="仿宋_GB2312"/>
                      <w:sz w:val="20"/>
                    </w:rPr>
                    <w:t>（</w:t>
                  </w:r>
                  <w:r>
                    <w:rPr>
                      <w:rFonts w:ascii="仿宋_GB2312" w:hAnsi="仿宋_GB2312" w:cs="仿宋_GB2312" w:eastAsia="仿宋_GB2312"/>
                      <w:sz w:val="20"/>
                    </w:rPr>
                    <w:t>6）密实度处理---采用高分子加强层处理法处理（处理材料用苯丙乳液、水泥、石英砂、水按1:2:4:8:适量混合搅拌均匀倒入现场，用刮耙顺基面刮平，但注意加强层不可刮出厚度，填满空隙即可）。</w:t>
                  </w:r>
                  <w:r>
                    <w:br/>
                  </w:r>
                  <w:r>
                    <w:rPr>
                      <w:rFonts w:ascii="仿宋_GB2312" w:hAnsi="仿宋_GB2312" w:cs="仿宋_GB2312" w:eastAsia="仿宋_GB2312"/>
                      <w:sz w:val="20"/>
                    </w:rPr>
                    <w:t>（</w:t>
                  </w:r>
                  <w:r>
                    <w:rPr>
                      <w:rFonts w:ascii="仿宋_GB2312" w:hAnsi="仿宋_GB2312" w:cs="仿宋_GB2312" w:eastAsia="仿宋_GB2312"/>
                      <w:sz w:val="20"/>
                    </w:rPr>
                    <w:t>7）全场清理干净。</w:t>
                  </w:r>
                  <w:r>
                    <w:br/>
                  </w:r>
                  <w:r>
                    <w:rPr>
                      <w:rFonts w:ascii="仿宋_GB2312" w:hAnsi="仿宋_GB2312" w:cs="仿宋_GB2312" w:eastAsia="仿宋_GB2312"/>
                      <w:sz w:val="20"/>
                    </w:rPr>
                    <w:t>2.防水处理：不低于一层防水胶</w:t>
                  </w:r>
                  <w:r>
                    <w:br/>
                  </w:r>
                  <w:r>
                    <w:rPr>
                      <w:rFonts w:ascii="仿宋_GB2312" w:hAnsi="仿宋_GB2312" w:cs="仿宋_GB2312" w:eastAsia="仿宋_GB2312"/>
                      <w:sz w:val="20"/>
                    </w:rPr>
                    <w:t>3.面层铺装：A、加厚区要求：加厚区分20㎜厚加厚区（用于跳远、跳高、标枪及撑杆跳高助跑道）和25㎜厚加厚区（用于障碍水池处）。加厚区铺设完的表面标高与周边一致（因此要求基础施工时应预留向下的加厚区厚度）。</w:t>
                  </w:r>
                  <w:r>
                    <w:br/>
                  </w:r>
                  <w:r>
                    <w:rPr>
                      <w:rFonts w:ascii="仿宋_GB2312" w:hAnsi="仿宋_GB2312" w:cs="仿宋_GB2312" w:eastAsia="仿宋_GB2312"/>
                      <w:sz w:val="20"/>
                    </w:rPr>
                    <w:t>B、由于材料物理性能的要求，卷材只能按13㎜厚预制，20㎜加厚区施工按13㎜卷材+7㎜混合型塑胶进行铺设，障碍池加厚区施工按13㎜卷材+12㎜混合型塑胶进行铺设。</w:t>
                  </w:r>
                  <w:r>
                    <w:br/>
                  </w:r>
                  <w:r>
                    <w:rPr>
                      <w:rFonts w:ascii="仿宋_GB2312" w:hAnsi="仿宋_GB2312" w:cs="仿宋_GB2312" w:eastAsia="仿宋_GB2312"/>
                      <w:sz w:val="20"/>
                    </w:rPr>
                    <w:t xml:space="preserve">4.场地划线：（1）采用全站仪按照体育工艺及竞赛规则和设计要求进行分道定位放线，并做好标识。 </w:t>
                  </w:r>
                  <w:r>
                    <w:br/>
                  </w:r>
                  <w:r>
                    <w:rPr>
                      <w:rFonts w:ascii="仿宋_GB2312" w:hAnsi="仿宋_GB2312" w:cs="仿宋_GB2312" w:eastAsia="仿宋_GB2312"/>
                      <w:sz w:val="20"/>
                    </w:rPr>
                    <w:t>（</w:t>
                  </w:r>
                  <w:r>
                    <w:rPr>
                      <w:rFonts w:ascii="仿宋_GB2312" w:hAnsi="仿宋_GB2312" w:cs="仿宋_GB2312" w:eastAsia="仿宋_GB2312"/>
                      <w:sz w:val="20"/>
                    </w:rPr>
                    <w:t>2）做好分色区定位放线，并做好标识。</w:t>
                  </w:r>
                  <w:r>
                    <w:br/>
                  </w:r>
                  <w:r>
                    <w:rPr>
                      <w:rFonts w:ascii="仿宋_GB2312" w:hAnsi="仿宋_GB2312" w:cs="仿宋_GB2312" w:eastAsia="仿宋_GB2312"/>
                      <w:sz w:val="20"/>
                    </w:rPr>
                    <w:t>（</w:t>
                  </w:r>
                  <w:r>
                    <w:rPr>
                      <w:rFonts w:ascii="仿宋_GB2312" w:hAnsi="仿宋_GB2312" w:cs="仿宋_GB2312" w:eastAsia="仿宋_GB2312"/>
                      <w:sz w:val="20"/>
                    </w:rPr>
                    <w:t>3）重复放线、校验无误方可进行橡胶卷材铺设。</w:t>
                  </w:r>
                </w:p>
              </w:tc>
            </w:tr>
            <w:tr>
              <w:tc>
                <w:tcPr>
                  <w:tcW w:type="dxa" w:w="2555"/>
                  <w:gridSpan w:val="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西北大学（长安校区）幼儿园户外活动场地</w:t>
                  </w:r>
                </w:p>
              </w:tc>
            </w:tr>
            <w:tr>
              <w:tc>
                <w:tcPr>
                  <w:tcW w:type="dxa" w:w="5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51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场地保护</w:t>
                  </w:r>
                </w:p>
              </w:tc>
              <w:tc>
                <w:tcPr>
                  <w:tcW w:type="dxa" w:w="51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51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1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1.在施工区域周边设置高度不低于 1.2 米的防护围栏，并张贴明显的警示标识。</w:t>
                  </w:r>
                  <w:r>
                    <w:br/>
                  </w:r>
                  <w:r>
                    <w:rPr>
                      <w:rFonts w:ascii="仿宋_GB2312" w:hAnsi="仿宋_GB2312" w:cs="仿宋_GB2312" w:eastAsia="仿宋_GB2312"/>
                      <w:sz w:val="20"/>
                    </w:rPr>
                    <w:t>2.对园内的公共设施、绿植等采用防护网、塑料薄膜等进行覆盖包裹</w:t>
                  </w:r>
                </w:p>
              </w:tc>
            </w:tr>
            <w:tr>
              <w:tc>
                <w:tcPr>
                  <w:tcW w:type="dxa" w:w="5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原有场地人工草皮地面处理</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906</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[项目特征]</w:t>
                  </w:r>
                  <w:r>
                    <w:br/>
                  </w:r>
                  <w:r>
                    <w:rPr>
                      <w:rFonts w:ascii="仿宋_GB2312" w:hAnsi="仿宋_GB2312" w:cs="仿宋_GB2312" w:eastAsia="仿宋_GB2312"/>
                      <w:sz w:val="20"/>
                    </w:rPr>
                    <w:t>1.原有场地的人工草皮拆除。</w:t>
                  </w:r>
                  <w:r>
                    <w:br/>
                  </w:r>
                  <w:r>
                    <w:rPr>
                      <w:rFonts w:ascii="仿宋_GB2312" w:hAnsi="仿宋_GB2312" w:cs="仿宋_GB2312" w:eastAsia="仿宋_GB2312"/>
                      <w:sz w:val="20"/>
                    </w:rPr>
                    <w:t>2.原有场地地面处理。</w:t>
                  </w:r>
                  <w:r>
                    <w:br/>
                  </w:r>
                  <w:r>
                    <w:rPr>
                      <w:rFonts w:ascii="仿宋_GB2312" w:hAnsi="仿宋_GB2312" w:cs="仿宋_GB2312" w:eastAsia="仿宋_GB2312"/>
                      <w:sz w:val="20"/>
                    </w:rPr>
                    <w:t>[工作内容]</w:t>
                  </w:r>
                  <w:r>
                    <w:br/>
                  </w:r>
                  <w:r>
                    <w:rPr>
                      <w:rFonts w:ascii="仿宋_GB2312" w:hAnsi="仿宋_GB2312" w:cs="仿宋_GB2312" w:eastAsia="仿宋_GB2312"/>
                      <w:sz w:val="20"/>
                    </w:rPr>
                    <w:t>1.拆除原有场地的人工草皮并弃置。</w:t>
                  </w:r>
                  <w:r>
                    <w:br/>
                  </w:r>
                  <w:r>
                    <w:rPr>
                      <w:rFonts w:ascii="仿宋_GB2312" w:hAnsi="仿宋_GB2312" w:cs="仿宋_GB2312" w:eastAsia="仿宋_GB2312"/>
                      <w:sz w:val="20"/>
                    </w:rPr>
                    <w:t>2.原有场地地面进行找平处理。</w:t>
                  </w:r>
                </w:p>
              </w:tc>
            </w:tr>
            <w:tr>
              <w:tc>
                <w:tcPr>
                  <w:tcW w:type="dxa" w:w="5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卷材地面</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906</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[项目特征]</w:t>
                  </w:r>
                  <w:r>
                    <w:br/>
                  </w:r>
                  <w:r>
                    <w:rPr>
                      <w:rFonts w:ascii="仿宋_GB2312" w:hAnsi="仿宋_GB2312" w:cs="仿宋_GB2312" w:eastAsia="仿宋_GB2312"/>
                      <w:sz w:val="20"/>
                    </w:rPr>
                    <w:t>1.面层材料品种、规格：13mm卷材铺装：A、材料：13㎜厚，1.22米宽，每卷长约15米，暗红色，粘接胶。</w:t>
                  </w:r>
                  <w:r>
                    <w:br/>
                  </w:r>
                  <w:r>
                    <w:rPr>
                      <w:rFonts w:ascii="仿宋_GB2312" w:hAnsi="仿宋_GB2312" w:cs="仿宋_GB2312" w:eastAsia="仿宋_GB2312"/>
                      <w:sz w:val="20"/>
                    </w:rPr>
                    <w:t>B、将专用粘接胶料搅拌均匀后倒入已定位好的并经过试铺的道位场地上（试铺后原地收卷），按每卷卷材的宽度和长度用刮耙或镘刀将粘接胶刮匀，胶料的用量约为1.3㎏/㎡，然后将橡胶卷材滚铺粘贴上。滚铺时，边滚铺边用滚压筒在卷材面上滚压，赶出空气，提高胶粘效果。然后在铺设完的卷材周边上压上红砖，确保周边粘接牢固。</w:t>
                  </w:r>
                  <w:r>
                    <w:br/>
                  </w:r>
                  <w:r>
                    <w:rPr>
                      <w:rFonts w:ascii="仿宋_GB2312" w:hAnsi="仿宋_GB2312" w:cs="仿宋_GB2312" w:eastAsia="仿宋_GB2312"/>
                      <w:sz w:val="20"/>
                    </w:rPr>
                    <w:t>C、粘接时，纵向接口采用平接推挤法施工，横向接口采用预长推挤法施工（预长3～5㎜左右），尽量做到接缝处无缝口。</w:t>
                  </w:r>
                  <w:r>
                    <w:br/>
                  </w:r>
                  <w:r>
                    <w:rPr>
                      <w:rFonts w:ascii="仿宋_GB2312" w:hAnsi="仿宋_GB2312" w:cs="仿宋_GB2312" w:eastAsia="仿宋_GB2312"/>
                      <w:sz w:val="20"/>
                    </w:rPr>
                    <w:t>D、粘接时，注意接缝处的粘接胶应饱满。刮粘接胶时，在纵或横向接缝处，要用镘刀在接缝处刮胶，即在已铺卷材接口处的侧面将胶料多刮一些，成一定斜角，以铺贴卷材接缝后不溢出为度来控制接缝处胶料的用量。若出现溢胶，应及时清理干净。</w:t>
                  </w:r>
                  <w:r>
                    <w:br/>
                  </w:r>
                  <w:r>
                    <w:rPr>
                      <w:rFonts w:ascii="仿宋_GB2312" w:hAnsi="仿宋_GB2312" w:cs="仿宋_GB2312" w:eastAsia="仿宋_GB2312"/>
                      <w:sz w:val="20"/>
                    </w:rPr>
                    <w:t>E、弯道粘接时，采用延弧自然顺铺法进行铺设。施工时，每条铺设后，在内弧处会有一部位轻向上拱起，是正常现象，只须稍微施力压平即可。另外，应特别注意接口处的固定，必要时采用加水泥钉固定法固定，待粘接牢固后再拔去钉子。</w:t>
                  </w:r>
                  <w:r>
                    <w:br/>
                  </w:r>
                  <w:r>
                    <w:rPr>
                      <w:rFonts w:ascii="仿宋_GB2312" w:hAnsi="仿宋_GB2312" w:cs="仿宋_GB2312" w:eastAsia="仿宋_GB2312"/>
                      <w:sz w:val="20"/>
                    </w:rPr>
                    <w:t>F、对前一天完成的跑道纵横向接缝口进行检查，发现接缝口有未灌满胶的，即可采用手压枪压胶法打胶压填纵横向接缝，待干固后用割刀修平。</w:t>
                  </w:r>
                  <w:r>
                    <w:br/>
                  </w:r>
                  <w:r>
                    <w:rPr>
                      <w:rFonts w:ascii="仿宋_GB2312" w:hAnsi="仿宋_GB2312" w:cs="仿宋_GB2312" w:eastAsia="仿宋_GB2312"/>
                      <w:sz w:val="20"/>
                    </w:rPr>
                    <w:t>2.跑道线，点位线等：（1）材料：弹性橡胶画线漆。材：料特点：耐磨，不变色，附着力强。</w:t>
                  </w:r>
                  <w:r>
                    <w:br/>
                  </w:r>
                  <w:r>
                    <w:rPr>
                      <w:rFonts w:ascii="仿宋_GB2312" w:hAnsi="仿宋_GB2312" w:cs="仿宋_GB2312" w:eastAsia="仿宋_GB2312"/>
                      <w:sz w:val="20"/>
                    </w:rPr>
                    <w:t>（</w:t>
                  </w:r>
                  <w:r>
                    <w:rPr>
                      <w:rFonts w:ascii="仿宋_GB2312" w:hAnsi="仿宋_GB2312" w:cs="仿宋_GB2312" w:eastAsia="仿宋_GB2312"/>
                      <w:sz w:val="20"/>
                    </w:rPr>
                    <w:t>2）用鉴定过的钢尺，全站仪放设点位线，各点位数据按照国际田径联合会（IAAF）标准400M田径场标线规范及体育工艺的要求进行标线，内控相对误差为±0—±1/10000。</w:t>
                  </w:r>
                  <w:r>
                    <w:br/>
                  </w:r>
                  <w:r>
                    <w:rPr>
                      <w:rFonts w:ascii="仿宋_GB2312" w:hAnsi="仿宋_GB2312" w:cs="仿宋_GB2312" w:eastAsia="仿宋_GB2312"/>
                      <w:sz w:val="20"/>
                    </w:rPr>
                    <w:t>（</w:t>
                  </w:r>
                  <w:r>
                    <w:rPr>
                      <w:rFonts w:ascii="仿宋_GB2312" w:hAnsi="仿宋_GB2312" w:cs="仿宋_GB2312" w:eastAsia="仿宋_GB2312"/>
                      <w:sz w:val="20"/>
                    </w:rPr>
                    <w:t>3）按点位线及色别喷漆。</w:t>
                  </w:r>
                  <w:r>
                    <w:br/>
                  </w:r>
                  <w:r>
                    <w:rPr>
                      <w:rFonts w:ascii="仿宋_GB2312" w:hAnsi="仿宋_GB2312" w:cs="仿宋_GB2312" w:eastAsia="仿宋_GB2312"/>
                      <w:sz w:val="20"/>
                    </w:rPr>
                    <w:t>（</w:t>
                  </w:r>
                  <w:r>
                    <w:rPr>
                      <w:rFonts w:ascii="仿宋_GB2312" w:hAnsi="仿宋_GB2312" w:cs="仿宋_GB2312" w:eastAsia="仿宋_GB2312"/>
                      <w:sz w:val="20"/>
                    </w:rPr>
                    <w:t>4）标志线的喷划注意事项：</w:t>
                  </w:r>
                  <w:r>
                    <w:br/>
                  </w:r>
                  <w:r>
                    <w:rPr>
                      <w:rFonts w:ascii="仿宋_GB2312" w:hAnsi="仿宋_GB2312" w:cs="仿宋_GB2312" w:eastAsia="仿宋_GB2312"/>
                      <w:sz w:val="20"/>
                    </w:rPr>
                    <w:t>A、按划线数据测量、确定各种标志线的位置，反复测量，校核确认无误已达要求的精确度，方可用大头针在塑胶面层上做划线记号，用墨线弹出底线。</w:t>
                  </w:r>
                  <w:r>
                    <w:br/>
                  </w:r>
                  <w:r>
                    <w:rPr>
                      <w:rFonts w:ascii="仿宋_GB2312" w:hAnsi="仿宋_GB2312" w:cs="仿宋_GB2312" w:eastAsia="仿宋_GB2312"/>
                      <w:sz w:val="20"/>
                    </w:rPr>
                    <w:t>B、放线后须经体育工艺复核，角度部分用放射线长度进行校核，直线部分用鉴定过的钢尺（包括尺长校正、温度校正）进行复核，确认符合标准后，方可进行喷线。</w:t>
                  </w:r>
                  <w:r>
                    <w:br/>
                  </w:r>
                  <w:r>
                    <w:rPr>
                      <w:rFonts w:ascii="仿宋_GB2312" w:hAnsi="仿宋_GB2312" w:cs="仿宋_GB2312" w:eastAsia="仿宋_GB2312"/>
                      <w:sz w:val="20"/>
                    </w:rPr>
                    <w:t>C、喷线时，要反复检查喷线木盒的宽度是否符合田联的规定(线宽为50mm)，如不符合必须及时调整。</w:t>
                  </w:r>
                  <w:r>
                    <w:br/>
                  </w:r>
                  <w:r>
                    <w:rPr>
                      <w:rFonts w:ascii="仿宋_GB2312" w:hAnsi="仿宋_GB2312" w:cs="仿宋_GB2312" w:eastAsia="仿宋_GB2312"/>
                      <w:sz w:val="20"/>
                    </w:rPr>
                    <w:t>D、喷线操作人员应掌握好喷枪离塑胶面距离和角度，以便线条的美观，要求线条清晰、色泽均匀、无明显接缝、无毛边。</w:t>
                  </w:r>
                </w:p>
                <w:p>
                  <w:pPr>
                    <w:pStyle w:val="null3"/>
                    <w:jc w:val="left"/>
                  </w:pPr>
                  <w:r>
                    <w:rPr>
                      <w:rFonts w:ascii="仿宋_GB2312" w:hAnsi="仿宋_GB2312" w:cs="仿宋_GB2312" w:eastAsia="仿宋_GB2312"/>
                      <w:sz w:val="20"/>
                    </w:rPr>
                    <w:t>[工作内容]</w:t>
                  </w:r>
                  <w:r>
                    <w:br/>
                  </w:r>
                  <w:r>
                    <w:rPr>
                      <w:rFonts w:ascii="仿宋_GB2312" w:hAnsi="仿宋_GB2312" w:cs="仿宋_GB2312" w:eastAsia="仿宋_GB2312"/>
                      <w:sz w:val="20"/>
                    </w:rPr>
                    <w:t>1.基础打磨找平处理：（1）对已铺设完毕的沥青砼基础进行平整度误差测试，用三米直尺检测误差不得超过3mm。</w:t>
                  </w:r>
                  <w:r>
                    <w:br/>
                  </w:r>
                  <w:r>
                    <w:rPr>
                      <w:rFonts w:ascii="仿宋_GB2312" w:hAnsi="仿宋_GB2312" w:cs="仿宋_GB2312" w:eastAsia="仿宋_GB2312"/>
                      <w:sz w:val="20"/>
                    </w:rPr>
                    <w:t>（</w:t>
                  </w:r>
                  <w:r>
                    <w:rPr>
                      <w:rFonts w:ascii="仿宋_GB2312" w:hAnsi="仿宋_GB2312" w:cs="仿宋_GB2312" w:eastAsia="仿宋_GB2312"/>
                      <w:sz w:val="20"/>
                    </w:rPr>
                    <w:t>2）对已铺设完毕的沥青砼基础进行密实度测试，密实度小于95%均需做密实度加强处理（通常细沥青砼配合比在AC10及大于AC10的密实度均需处理）。</w:t>
                  </w:r>
                  <w:r>
                    <w:br/>
                  </w:r>
                  <w:r>
                    <w:rPr>
                      <w:rFonts w:ascii="仿宋_GB2312" w:hAnsi="仿宋_GB2312" w:cs="仿宋_GB2312" w:eastAsia="仿宋_GB2312"/>
                      <w:sz w:val="20"/>
                    </w:rPr>
                    <w:t>（</w:t>
                  </w:r>
                  <w:r>
                    <w:rPr>
                      <w:rFonts w:ascii="仿宋_GB2312" w:hAnsi="仿宋_GB2312" w:cs="仿宋_GB2312" w:eastAsia="仿宋_GB2312"/>
                      <w:sz w:val="20"/>
                    </w:rPr>
                    <w:t>3）对局部平整度误差超过3mm及有积水的部位，采用打磨或填补的方法进行处理，至合格为止。</w:t>
                  </w:r>
                  <w:r>
                    <w:br/>
                  </w:r>
                  <w:r>
                    <w:rPr>
                      <w:rFonts w:ascii="仿宋_GB2312" w:hAnsi="仿宋_GB2312" w:cs="仿宋_GB2312" w:eastAsia="仿宋_GB2312"/>
                      <w:sz w:val="20"/>
                    </w:rPr>
                    <w:t>（</w:t>
                  </w:r>
                  <w:r>
                    <w:rPr>
                      <w:rFonts w:ascii="仿宋_GB2312" w:hAnsi="仿宋_GB2312" w:cs="仿宋_GB2312" w:eastAsia="仿宋_GB2312"/>
                      <w:sz w:val="20"/>
                    </w:rPr>
                    <w:t>4）打磨法---将局部超高处用水磨石机进行打磨。</w:t>
                  </w:r>
                  <w:r>
                    <w:br/>
                  </w:r>
                  <w:r>
                    <w:rPr>
                      <w:rFonts w:ascii="仿宋_GB2312" w:hAnsi="仿宋_GB2312" w:cs="仿宋_GB2312" w:eastAsia="仿宋_GB2312"/>
                      <w:sz w:val="20"/>
                    </w:rPr>
                    <w:t>（</w:t>
                  </w:r>
                  <w:r>
                    <w:rPr>
                      <w:rFonts w:ascii="仿宋_GB2312" w:hAnsi="仿宋_GB2312" w:cs="仿宋_GB2312" w:eastAsia="仿宋_GB2312"/>
                      <w:sz w:val="20"/>
                    </w:rPr>
                    <w:t>5）填补法---采用专用补平胶（自流平胶）补平。</w:t>
                  </w:r>
                  <w:r>
                    <w:br/>
                  </w:r>
                  <w:r>
                    <w:rPr>
                      <w:rFonts w:ascii="仿宋_GB2312" w:hAnsi="仿宋_GB2312" w:cs="仿宋_GB2312" w:eastAsia="仿宋_GB2312"/>
                      <w:sz w:val="20"/>
                    </w:rPr>
                    <w:t>（</w:t>
                  </w:r>
                  <w:r>
                    <w:rPr>
                      <w:rFonts w:ascii="仿宋_GB2312" w:hAnsi="仿宋_GB2312" w:cs="仿宋_GB2312" w:eastAsia="仿宋_GB2312"/>
                      <w:sz w:val="20"/>
                    </w:rPr>
                    <w:t>6）密实度处理---采用高分子加强层处理法处理（处理材料用苯丙乳液、水泥、石英砂、水按1:2:4:8:适量混合搅拌均匀倒入现场，用刮耙顺基面刮平，但注意加强层不可刮出厚度，填满空隙即可）。</w:t>
                  </w:r>
                  <w:r>
                    <w:br/>
                  </w:r>
                  <w:r>
                    <w:rPr>
                      <w:rFonts w:ascii="仿宋_GB2312" w:hAnsi="仿宋_GB2312" w:cs="仿宋_GB2312" w:eastAsia="仿宋_GB2312"/>
                      <w:sz w:val="20"/>
                    </w:rPr>
                    <w:t>（</w:t>
                  </w:r>
                  <w:r>
                    <w:rPr>
                      <w:rFonts w:ascii="仿宋_GB2312" w:hAnsi="仿宋_GB2312" w:cs="仿宋_GB2312" w:eastAsia="仿宋_GB2312"/>
                      <w:sz w:val="20"/>
                    </w:rPr>
                    <w:t>7）全场清理干净。</w:t>
                  </w:r>
                  <w:r>
                    <w:br/>
                  </w:r>
                  <w:r>
                    <w:rPr>
                      <w:rFonts w:ascii="仿宋_GB2312" w:hAnsi="仿宋_GB2312" w:cs="仿宋_GB2312" w:eastAsia="仿宋_GB2312"/>
                      <w:sz w:val="20"/>
                    </w:rPr>
                    <w:t>2.防水处理：不低于一层防水胶</w:t>
                  </w:r>
                  <w:r>
                    <w:br/>
                  </w:r>
                  <w:r>
                    <w:rPr>
                      <w:rFonts w:ascii="仿宋_GB2312" w:hAnsi="仿宋_GB2312" w:cs="仿宋_GB2312" w:eastAsia="仿宋_GB2312"/>
                      <w:sz w:val="20"/>
                    </w:rPr>
                    <w:t>3.面层铺装：A、加厚区要求：加厚区分20㎜厚加厚区（用于跳远、跳高、标枪及撑杆跳高助跑道）和25㎜厚加厚区（用于障碍水池处）。加厚区铺设完的表面标高与周边一致（因此要求基础施工时应预留向下的加厚区厚度）。</w:t>
                  </w:r>
                  <w:r>
                    <w:br/>
                  </w:r>
                  <w:r>
                    <w:rPr>
                      <w:rFonts w:ascii="仿宋_GB2312" w:hAnsi="仿宋_GB2312" w:cs="仿宋_GB2312" w:eastAsia="仿宋_GB2312"/>
                      <w:sz w:val="20"/>
                    </w:rPr>
                    <w:t>B、由于材料物理性能的要求，卷材只能按13㎜厚预制，20㎜加厚区施工按13㎜卷材+7㎜混合型塑胶进行铺设，障碍池加厚区施工按13㎜卷材+12㎜混合型塑胶进行铺设。</w:t>
                  </w:r>
                  <w:r>
                    <w:br/>
                  </w:r>
                  <w:r>
                    <w:rPr>
                      <w:rFonts w:ascii="仿宋_GB2312" w:hAnsi="仿宋_GB2312" w:cs="仿宋_GB2312" w:eastAsia="仿宋_GB2312"/>
                      <w:sz w:val="20"/>
                    </w:rPr>
                    <w:t xml:space="preserve">4.场地划线：（1）采用全站仪按照体育工艺及竞赛规则和设计要求进行分道定位放线，并做好标识。 </w:t>
                  </w:r>
                  <w:r>
                    <w:br/>
                  </w:r>
                  <w:r>
                    <w:rPr>
                      <w:rFonts w:ascii="仿宋_GB2312" w:hAnsi="仿宋_GB2312" w:cs="仿宋_GB2312" w:eastAsia="仿宋_GB2312"/>
                      <w:sz w:val="20"/>
                    </w:rPr>
                    <w:t>（</w:t>
                  </w:r>
                  <w:r>
                    <w:rPr>
                      <w:rFonts w:ascii="仿宋_GB2312" w:hAnsi="仿宋_GB2312" w:cs="仿宋_GB2312" w:eastAsia="仿宋_GB2312"/>
                      <w:sz w:val="20"/>
                    </w:rPr>
                    <w:t>2）做好分色区定位放线，并做好标识。</w:t>
                  </w:r>
                  <w:r>
                    <w:br/>
                  </w:r>
                  <w:r>
                    <w:rPr>
                      <w:rFonts w:ascii="仿宋_GB2312" w:hAnsi="仿宋_GB2312" w:cs="仿宋_GB2312" w:eastAsia="仿宋_GB2312"/>
                      <w:sz w:val="20"/>
                    </w:rPr>
                    <w:t>（</w:t>
                  </w:r>
                  <w:r>
                    <w:rPr>
                      <w:rFonts w:ascii="仿宋_GB2312" w:hAnsi="仿宋_GB2312" w:cs="仿宋_GB2312" w:eastAsia="仿宋_GB2312"/>
                      <w:sz w:val="20"/>
                    </w:rPr>
                    <w:t>3）重复放线、校验无误方可进行橡胶卷材铺设。</w:t>
                  </w:r>
                </w:p>
              </w:tc>
            </w:tr>
            <w:tr>
              <w:tc>
                <w:tcPr>
                  <w:tcW w:type="dxa" w:w="255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暂列金：</w:t>
                  </w:r>
                  <w:r>
                    <w:rPr>
                      <w:rFonts w:ascii="仿宋_GB2312" w:hAnsi="仿宋_GB2312" w:cs="仿宋_GB2312" w:eastAsia="仿宋_GB2312"/>
                      <w:sz w:val="22"/>
                    </w:rPr>
                    <w:t>26898元</w:t>
                  </w:r>
                </w:p>
              </w:tc>
            </w:tr>
          </w:tbl>
          <w:p>
            <w:pPr>
              <w:pStyle w:val="null3"/>
              <w:jc w:val="both"/>
            </w:pPr>
            <w:r>
              <w:rPr>
                <w:rFonts w:ascii="仿宋_GB2312" w:hAnsi="仿宋_GB2312" w:cs="仿宋_GB2312" w:eastAsia="仿宋_GB2312"/>
                <w:sz w:val="24"/>
                <w:b/>
                <w:color w:val="000000"/>
              </w:rPr>
              <w:t>四、</w:t>
            </w:r>
            <w:r>
              <w:rPr>
                <w:rFonts w:ascii="仿宋_GB2312" w:hAnsi="仿宋_GB2312" w:cs="仿宋_GB2312" w:eastAsia="仿宋_GB2312"/>
                <w:sz w:val="24"/>
                <w:b/>
                <w:color w:val="000000"/>
              </w:rPr>
              <w:t>实施要求</w:t>
            </w:r>
          </w:p>
          <w:p>
            <w:pPr>
              <w:pStyle w:val="null3"/>
              <w:ind w:firstLine="480"/>
              <w:jc w:val="both"/>
            </w:pPr>
            <w:r>
              <w:rPr>
                <w:rFonts w:ascii="仿宋_GB2312" w:hAnsi="仿宋_GB2312" w:cs="仿宋_GB2312" w:eastAsia="仿宋_GB2312"/>
                <w:sz w:val="24"/>
                <w:color w:val="000000"/>
              </w:rPr>
              <w:t>1.环境保护：采取有效的环境保护措施，减少施工过程中产生的噪声、粉尘、废水、废弃物等对环境的污染。控制施工噪声，在居民区等敏感区域合理安排施工时间；对建筑垃圾和生活垃圾进行分类存放和及时清运。</w:t>
            </w:r>
          </w:p>
          <w:p>
            <w:pPr>
              <w:pStyle w:val="null3"/>
              <w:ind w:firstLine="480"/>
              <w:jc w:val="both"/>
            </w:pPr>
            <w:r>
              <w:rPr>
                <w:rFonts w:ascii="仿宋_GB2312" w:hAnsi="仿宋_GB2312" w:cs="仿宋_GB2312" w:eastAsia="仿宋_GB2312"/>
                <w:sz w:val="24"/>
                <w:color w:val="000000"/>
              </w:rPr>
              <w:t>2.卫生与健康：保障施工现场的环境卫生，设置必要的卫生设施，如临时厕所、洗手池等。为作业人员提供符合卫生标准的饮用水和就餐场所，做好传染病防控工作。</w:t>
            </w:r>
          </w:p>
          <w:p>
            <w:pPr>
              <w:pStyle w:val="null3"/>
              <w:ind w:firstLine="480"/>
              <w:jc w:val="both"/>
            </w:pPr>
            <w:r>
              <w:rPr>
                <w:rFonts w:ascii="仿宋_GB2312" w:hAnsi="仿宋_GB2312" w:cs="仿宋_GB2312" w:eastAsia="仿宋_GB2312"/>
                <w:sz w:val="24"/>
                <w:color w:val="000000"/>
              </w:rPr>
              <w:t>3.进度管理：根据项目合同工期要求，编制科学合理的施工进度计划，并严格按照计划组织施工。建立进度跟踪和调整机制，及时解决影响进度的问题，确保项目按时交付。</w:t>
            </w:r>
          </w:p>
          <w:p>
            <w:pPr>
              <w:pStyle w:val="null3"/>
              <w:ind w:firstLine="480"/>
              <w:jc w:val="both"/>
            </w:pPr>
            <w:r>
              <w:rPr>
                <w:rFonts w:ascii="仿宋_GB2312" w:hAnsi="仿宋_GB2312" w:cs="仿宋_GB2312" w:eastAsia="仿宋_GB2312"/>
                <w:sz w:val="24"/>
                <w:color w:val="000000"/>
              </w:rPr>
              <w:t>4.成本控制：在项目实施过程中，要加强成本管理，通过优化施工方案、合理控制材料消耗、提高劳动效率等措施，实现项目成本目标。</w:t>
            </w:r>
          </w:p>
          <w:p>
            <w:pPr>
              <w:pStyle w:val="null3"/>
              <w:ind w:firstLine="480"/>
            </w:pPr>
            <w:r>
              <w:rPr>
                <w:rFonts w:ascii="仿宋_GB2312" w:hAnsi="仿宋_GB2312" w:cs="仿宋_GB2312" w:eastAsia="仿宋_GB2312"/>
                <w:sz w:val="24"/>
                <w:color w:val="000000"/>
              </w:rPr>
              <w:t>5.资料管理：安排专人负责收集、整理、归档项目实施过程中的各类资料，包括施工图纸、技术交底、质量检验记录、安全检查记录等，确保资料的完整性、准确性和可追溯性 。</w:t>
            </w:r>
          </w:p>
          <w:p>
            <w:pPr>
              <w:pStyle w:val="null3"/>
            </w:pPr>
            <w:r>
              <w:rPr>
                <w:rFonts w:ascii="仿宋_GB2312" w:hAnsi="仿宋_GB2312" w:cs="仿宋_GB2312" w:eastAsia="仿宋_GB2312"/>
                <w:sz w:val="24"/>
                <w:b/>
                <w:color w:val="000000"/>
              </w:rPr>
              <w:t>五、质量保证及验收标准</w:t>
            </w:r>
          </w:p>
          <w:p>
            <w:pPr>
              <w:pStyle w:val="null3"/>
            </w:pPr>
            <w:r>
              <w:rPr>
                <w:rFonts w:ascii="仿宋_GB2312" w:hAnsi="仿宋_GB2312" w:cs="仿宋_GB2312" w:eastAsia="仿宋_GB2312"/>
                <w:sz w:val="24"/>
                <w:color w:val="000000"/>
              </w:rPr>
              <w:t>施工结束后要出具现场材料取样的检测报告。</w:t>
            </w:r>
          </w:p>
          <w:p>
            <w:pPr>
              <w:pStyle w:val="null3"/>
            </w:pPr>
            <w:r>
              <w:rPr>
                <w:rFonts w:ascii="仿宋_GB2312" w:hAnsi="仿宋_GB2312" w:cs="仿宋_GB2312" w:eastAsia="仿宋_GB2312"/>
                <w:sz w:val="24"/>
                <w:b/>
                <w:color w:val="000000"/>
              </w:rPr>
              <w:t>六、样品</w:t>
            </w:r>
          </w:p>
          <w:tbl>
            <w:tblPr>
              <w:tblBorders>
                <w:top w:val="none" w:color="000000" w:sz="4"/>
                <w:left w:val="none" w:color="000000" w:sz="4"/>
                <w:bottom w:val="none" w:color="000000" w:sz="4"/>
                <w:right w:val="none" w:color="000000" w:sz="4"/>
                <w:insideH w:val="none"/>
                <w:insideV w:val="none"/>
              </w:tblBorders>
            </w:tblPr>
            <w:tblGrid>
              <w:gridCol w:w="253"/>
              <w:gridCol w:w="591"/>
              <w:gridCol w:w="257"/>
              <w:gridCol w:w="911"/>
              <w:gridCol w:w="540"/>
            </w:tblGrid>
            <w:tr>
              <w:tc>
                <w:tcPr>
                  <w:tcW w:type="dxa" w:w="2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5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样品名称</w:t>
                  </w:r>
                </w:p>
              </w:tc>
              <w:tc>
                <w:tcPr>
                  <w:tcW w:type="dxa" w:w="2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c>
                <w:tcPr>
                  <w:tcW w:type="dxa" w:w="9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制作的标准和要求</w:t>
                  </w:r>
                </w:p>
              </w:tc>
              <w:tc>
                <w:tcPr>
                  <w:tcW w:type="dxa" w:w="5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是否需提供样品检测报告</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预制型橡</w:t>
                  </w:r>
                </w:p>
                <w:p>
                  <w:pPr>
                    <w:pStyle w:val="null3"/>
                    <w:jc w:val="center"/>
                  </w:pPr>
                  <w:r>
                    <w:rPr>
                      <w:rFonts w:ascii="仿宋_GB2312" w:hAnsi="仿宋_GB2312" w:cs="仿宋_GB2312" w:eastAsia="仿宋_GB2312"/>
                      <w:sz w:val="24"/>
                      <w:color w:val="000000"/>
                    </w:rPr>
                    <w:t>胶卷材</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1平方米</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规格、材质、厚度</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是</w:t>
                  </w:r>
                </w:p>
              </w:tc>
            </w:tr>
          </w:tbl>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按照采购文件、响应文件及合同条款执行</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1、工期： 自合同签订之日起 25天。2、实施地点：西北大学指定地点。3、质保期：本项目质保 期为 3 年。质量保修期和缺陷责任期：3 年。4、付款方式：待工程竣工验收合格后付至合同金 额的80%，经学校审计后付至审定金额的 100%；但前期支付金额超过审定金额的成交人应当退还。 5、质量保证及验收标准：施工结束后要出具现场材料取样的检测报告；6、违约责任：中标/成交供应商所交付工程不符合其投标承诺，存在偷工减料、以次充好情形的，采购人要求更换一次后仍不符合约定的，采购人有权解除采购合同，没收履约保证金，并将有关情况上报政府采购监管部门处理。7、为顺利推进政府采购电子化交易平台应用工作，投标人需要在线提交所有通过电子化交易平台实施的政府采购项目的投标文件， 同时，线下提交纸质版投标文件，正本壹份、副本贰份(标 明投标人名称，密封递交)。若线上电子投标文件与纸质投标文件不一致的， 以线上电子投标文 件为准；若正本和副本不符， 以正本为准。线下递交文件截止时间:详见本项目招标公告文件递 交截止时间。8、因系统受限，踏勘时间：2025-07-04 14:30:00 踏勘地点：西北大学附属幼儿园（太白北路229号） 踏勘结束后自行前往长安校区幼儿园，到达后统一进行现场踏勘。联系人：董菊莉 张倩 联系电话号码：17778966062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 2023 年度或 2024 年度经审计完整的财务审计报告（成立时间至提交响应文件截止时间不足一年的可提供成立后任意时段的资产负债表），或其开标前三个月内 银行出具的资信证明，或财政部门认可的政府采购专业担保机构出具的响应担保函；（注：①提供财务报告的，内容至少包括审计报告、附注。②提供资信证明的，必须提供资信证明全部页以及基本户信息 （提供开户许可证或提供基本银行账户信息）。银行出具的存款证明不能代替资信证明。）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 2024 年 6 月（含 6 月）以来任意时间段的依法缴纳税收的相关凭据（时 间以税款所属时期为准），凭据应有税务机关或代收机关的公章或业务专用章。依法免税或无须缴纳税收的应提供说明；成立不足一个月的提供将依法纳税的承诺书(格式自拟)。（注:①零报税的提供申报成功的凭证。②时间以税款所属时段为准。）</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 2024 年 6 月（含 6 月）以来任意时间段的社会保障资金缴存单 据或社保机构开具的社会保险参保缴费情况证明。依法不需要缴纳社会保障资金的供应商应提供 相关文件证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参加采购活动前 3 年内在经营活动中没有重大违法记录的书面声明</w:t>
            </w:r>
          </w:p>
        </w:tc>
        <w:tc>
          <w:tcPr>
            <w:tcW w:type="dxa" w:w="3322"/>
          </w:tcPr>
          <w:p>
            <w:pPr>
              <w:pStyle w:val="null3"/>
            </w:pPr>
            <w:r>
              <w:rPr>
                <w:rFonts w:ascii="仿宋_GB2312" w:hAnsi="仿宋_GB2312" w:cs="仿宋_GB2312" w:eastAsia="仿宋_GB2312"/>
              </w:rPr>
              <w:t>参加采购活动前 3 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法定代表人委托授权书</w:t>
            </w:r>
          </w:p>
        </w:tc>
        <w:tc>
          <w:tcPr>
            <w:tcW w:type="dxa" w:w="3322"/>
          </w:tcPr>
          <w:p>
            <w:pPr>
              <w:pStyle w:val="null3"/>
            </w:pPr>
            <w:r>
              <w:rPr>
                <w:rFonts w:ascii="仿宋_GB2312" w:hAnsi="仿宋_GB2312" w:cs="仿宋_GB2312" w:eastAsia="仿宋_GB2312"/>
              </w:rPr>
              <w:t>非法定代表人参加磋商的，须提供法定代表人委托授权书，法定代表人参加磋商时,只须提供法定代表人身份证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施工资质</w:t>
            </w:r>
          </w:p>
        </w:tc>
        <w:tc>
          <w:tcPr>
            <w:tcW w:type="dxa" w:w="3322"/>
          </w:tcPr>
          <w:p>
            <w:pPr>
              <w:pStyle w:val="null3"/>
            </w:pPr>
            <w:r>
              <w:rPr>
                <w:rFonts w:ascii="仿宋_GB2312" w:hAnsi="仿宋_GB2312" w:cs="仿宋_GB2312" w:eastAsia="仿宋_GB2312"/>
              </w:rPr>
              <w:t>供应商须具备有效的国家建设行政主管部门颁发的建筑工程施工总承包三级或市政公用工程施工总承包三级及以上资质及安全生产许可证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外地企业备案</w:t>
            </w:r>
          </w:p>
        </w:tc>
        <w:tc>
          <w:tcPr>
            <w:tcW w:type="dxa" w:w="3322"/>
          </w:tcPr>
          <w:p>
            <w:pPr>
              <w:pStyle w:val="null3"/>
            </w:pPr>
            <w:r>
              <w:rPr>
                <w:rFonts w:ascii="仿宋_GB2312" w:hAnsi="仿宋_GB2312" w:cs="仿宋_GB2312" w:eastAsia="仿宋_GB2312"/>
              </w:rPr>
              <w:t>外地企业提供在“陕西省建筑市场监管与诚信信息一体化平台”上登记的基本信息界面截图</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项目经理资格</w:t>
            </w:r>
          </w:p>
        </w:tc>
        <w:tc>
          <w:tcPr>
            <w:tcW w:type="dxa" w:w="3322"/>
          </w:tcPr>
          <w:p>
            <w:pPr>
              <w:pStyle w:val="null3"/>
            </w:pPr>
            <w:r>
              <w:rPr>
                <w:rFonts w:ascii="仿宋_GB2312" w:hAnsi="仿宋_GB2312" w:cs="仿宋_GB2312" w:eastAsia="仿宋_GB2312"/>
              </w:rPr>
              <w:t>拟投入的项目经理须提供在本单位注册的建筑工程或市政公用工程专业二级及以上注册建造师证书及有效的安全生产考核合格证，并提供无在建项目承诺</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本项目不接受联合体响应</w:t>
            </w:r>
          </w:p>
        </w:tc>
        <w:tc>
          <w:tcPr>
            <w:tcW w:type="dxa" w:w="3322"/>
          </w:tcPr>
          <w:p>
            <w:pPr>
              <w:pStyle w:val="null3"/>
            </w:pPr>
            <w:r>
              <w:rPr>
                <w:rFonts w:ascii="仿宋_GB2312" w:hAnsi="仿宋_GB2312" w:cs="仿宋_GB2312" w:eastAsia="仿宋_GB2312"/>
              </w:rPr>
              <w:t>本项目不接受联合体响应</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响应报价未超过采购预算或最高限价的（合格），响应报价超过采购预算或最高限价的（不合格）</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工期满足竞争性磋商文件要求（合格），工期不满足竞争性磋商文件要求（不合格）</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质保期、质量保修期和缺陷责任期</w:t>
            </w:r>
          </w:p>
        </w:tc>
        <w:tc>
          <w:tcPr>
            <w:tcW w:type="dxa" w:w="3322"/>
          </w:tcPr>
          <w:p>
            <w:pPr>
              <w:pStyle w:val="null3"/>
            </w:pPr>
            <w:r>
              <w:rPr>
                <w:rFonts w:ascii="仿宋_GB2312" w:hAnsi="仿宋_GB2312" w:cs="仿宋_GB2312" w:eastAsia="仿宋_GB2312"/>
              </w:rPr>
              <w:t>质保期、质量保修期和缺陷责任期满足竞争性磋商文件要求（合格），质保期、质量保修期和缺陷责任期不满足竞争性磋商文件要求（不合格）</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响应文件签署、盖章符合竞争性磋商文件要求（合格），响应文件签署、盖章不符合竞争性磋商文件要求（不合格）</w:t>
            </w:r>
          </w:p>
        </w:tc>
        <w:tc>
          <w:tcPr>
            <w:tcW w:type="dxa" w:w="1661"/>
          </w:tcPr>
          <w:p>
            <w:pPr>
              <w:pStyle w:val="null3"/>
            </w:pPr>
            <w:r>
              <w:rPr>
                <w:rFonts w:ascii="仿宋_GB2312" w:hAnsi="仿宋_GB2312" w:cs="仿宋_GB2312" w:eastAsia="仿宋_GB2312"/>
              </w:rPr>
              <w:t>响应文件封面 已标价工程量清单 供应商资格要求.docx 中小企业声明函 报价函 技术服务合同条款及其他商务要求应答表 标的清单 响应函 强制优先采购产品承诺函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响应文件响应有效期符合竞争性磋商文件要求的（合格），响应文件无响应有效期或有效期达不到竞争性磋商文件要求的（不合格）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法律、法规和磋商文件规定的其他无效情形</w:t>
            </w:r>
          </w:p>
        </w:tc>
        <w:tc>
          <w:tcPr>
            <w:tcW w:type="dxa" w:w="3322"/>
          </w:tcPr>
          <w:p>
            <w:pPr>
              <w:pStyle w:val="null3"/>
            </w:pPr>
            <w:r>
              <w:rPr>
                <w:rFonts w:ascii="仿宋_GB2312" w:hAnsi="仿宋_GB2312" w:cs="仿宋_GB2312" w:eastAsia="仿宋_GB2312"/>
              </w:rPr>
              <w:t>未出现法律、法规和磋商文件规定的其他无效情形（合格），出现法律、法规和磋商文件规定的其他无效情形（不合格）</w:t>
            </w:r>
          </w:p>
        </w:tc>
        <w:tc>
          <w:tcPr>
            <w:tcW w:type="dxa" w:w="1661"/>
          </w:tcPr>
          <w:p>
            <w:pPr>
              <w:pStyle w:val="null3"/>
            </w:pPr>
            <w:r>
              <w:rPr>
                <w:rFonts w:ascii="仿宋_GB2312" w:hAnsi="仿宋_GB2312" w:cs="仿宋_GB2312" w:eastAsia="仿宋_GB2312"/>
              </w:rPr>
              <w:t>供应商认为有必要说明的其他问题.docx 响应函 强制优先采购产品承诺函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工程量清单</w:t>
            </w:r>
          </w:p>
        </w:tc>
        <w:tc>
          <w:tcPr>
            <w:tcW w:type="dxa" w:w="3322"/>
          </w:tcPr>
          <w:p>
            <w:pPr>
              <w:pStyle w:val="null3"/>
            </w:pPr>
            <w:r>
              <w:rPr>
                <w:rFonts w:ascii="仿宋_GB2312" w:hAnsi="仿宋_GB2312" w:cs="仿宋_GB2312" w:eastAsia="仿宋_GB2312"/>
              </w:rPr>
              <w:t>响应文件的工程量清单满足采购要求的（合格）响应文件的工程量清单不满足采购要求的（不合格）</w:t>
            </w:r>
          </w:p>
        </w:tc>
        <w:tc>
          <w:tcPr>
            <w:tcW w:type="dxa" w:w="1661"/>
          </w:tcPr>
          <w:p>
            <w:pPr>
              <w:pStyle w:val="null3"/>
            </w:pPr>
            <w:r>
              <w:rPr>
                <w:rFonts w:ascii="仿宋_GB2312" w:hAnsi="仿宋_GB2312" w:cs="仿宋_GB2312" w:eastAsia="仿宋_GB2312"/>
              </w:rPr>
              <w:t>已标价工程量清单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详细评审55.00分</w:t>
            </w:r>
          </w:p>
          <w:p>
            <w:pPr>
              <w:pStyle w:val="null3"/>
            </w:pPr>
            <w:r>
              <w:rPr>
                <w:rFonts w:ascii="仿宋_GB2312" w:hAnsi="仿宋_GB2312" w:cs="仿宋_GB2312" w:eastAsia="仿宋_GB2312"/>
              </w:rPr>
              <w:t>报价得分45.00分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施工组织设计</w:t>
            </w:r>
          </w:p>
        </w:tc>
        <w:tc>
          <w:tcPr>
            <w:tcW w:type="dxa" w:w="2492"/>
          </w:tcPr>
          <w:p>
            <w:pPr>
              <w:pStyle w:val="null3"/>
            </w:pPr>
            <w:r>
              <w:rPr>
                <w:rFonts w:ascii="仿宋_GB2312" w:hAnsi="仿宋_GB2312" w:cs="仿宋_GB2312" w:eastAsia="仿宋_GB2312"/>
              </w:rPr>
              <w:t>1.项目的施工方案（3分） 分部分项工程概况、施工平面布置、施工要求和技术保证条件，重点难点分析及处理措施。根据方案完整程度赋分。内容完备、科学、合理、针对性强计2.1-3分；基本满足施工要求计0-2分；未提供不计分。 2.施工进度及工期保障措施（2分） 提供全面的进度安排、分析关键节点、确保进度、保证工期的的技术组织措施（包括施工进度表或施工网络图），根据完整程度赋分。内容完备、科学、合理、针对性强计1.1-2分；基本满足施工要求计0-1分；未提供不计分。 3.施工质量保证措施（2分） 制定切实可行的总体质量控制目标及分阶段施工的重点难点目标，且对质量控制目标进行合理分解、规划，给出有针对性分段施工方案及其编制依据，确保本项目质量标准符合该项目质量要求。内容完备、科学、合理、针对性强计1.1-2分；基本满足施工要求计0-1分；未提供不计分。 4.确保安全、文明施工的技术组织措施（1分） 结合工程环境、特点分析安全隐患，给出有针对性的安全施工管理制度、文明施工、环保施工、防尘降噪等保证防护措施。内容完备、科学、合理、针对性强计0.5-1分；基本满足施工要求计0-0.5分；未提供不计分。 5.拟投入本项目的设备、机械、工具等（2分） 配备齐全、针对性强计1.1-2分；配备较差计0-1分，未提供不计分。 6.针对突发事件的应急处理方案，提供相应的预案或保证措施（2分） 内容完备、科学、合理、针对性强计1.1-2分；基本满足实际要求计0-1分；未提供不计分。 7.项目经理部人员组成的情况（2分） 岗位、专业、分工、专职安全生产管理人员、 作业人员等，配置合理、针对性强计1.1-2分，基本满足要求计0-1分；未提供不计分。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主要设备及材料选用情况</w:t>
            </w:r>
          </w:p>
        </w:tc>
        <w:tc>
          <w:tcPr>
            <w:tcW w:type="dxa" w:w="2492"/>
          </w:tcPr>
          <w:p>
            <w:pPr>
              <w:pStyle w:val="null3"/>
            </w:pPr>
            <w:r>
              <w:rPr>
                <w:rFonts w:ascii="仿宋_GB2312" w:hAnsi="仿宋_GB2312" w:cs="仿宋_GB2312" w:eastAsia="仿宋_GB2312"/>
              </w:rPr>
              <w:t>1.根据供应商针对本项目提供拟投入主要材料清单进行评审：拟投的主要材料清单合理完整，实用性强，完整性强，完全满足本项目需求的 8.1-10 分； 拟投的主要材料清单基本合理，实用性较强，较完整，基本满足本项目需求的 4.1-8分；拟投的主要材料清单不合理，不完整，不满足本项目需求的0.1-4 分； 未提供的得 0 分； 2.根据供应商针对本项目拟投入主要材料的产品选型情况、材料品质进行评审：主要材料的市场应用比例高与本次项目契合度高、为主流产品且符合相关环保要求，相关证明材料完整、清晰的得8.1-10分； 主要材料的市场应用比例较高与本次项目契合度一般、为一般产 品，可以达到相关环保要求，相关证明材料基本完整的得 4.1-8分；主要材料的市场占有率一般，相关证明材料不完整，缺失严重的得 0.1-4分； 未提供的得 0 分。 3.供应商应 提供预制型橡胶卷材的小样（尺寸约为：1平方米）及检测报告，评审专家对所提供的小样的质量、材质、表面状态、边缘处理、 颜色与纹理、厚度，物理性能、化学性能功能特性、 工艺结构、有无异味等进行综合评审，样品质量完全符合并优于本次实际需求计 8.1-10 分，样品质量基本符合本次需求计4.1-8，样品较差计0.1-4；未提供的得 0 分。 注：样品递交时间同文件 递交截止时间一致（样品清单、检测报告随样品密封递交，逾期递交的不予接收） 。中标（成交）投标单位样品作为验收依据 转采购人接收，未中标（未 成交）投标单位样品采购结果公示后五个工作日内 退还，如未按规定时间内领取，招标代理机构有权自行销毁。</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主要设备及材料选用情况.docx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根据提供的2022年6月1日至今同类项目合同，（以合同签订日期为准，仅限供应商本身，提供合同关键页，原件备查）进行评定，每份计1分，最高计5分。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保修方案</w:t>
            </w:r>
          </w:p>
        </w:tc>
        <w:tc>
          <w:tcPr>
            <w:tcW w:type="dxa" w:w="2492"/>
          </w:tcPr>
          <w:p>
            <w:pPr>
              <w:pStyle w:val="null3"/>
            </w:pPr>
            <w:r>
              <w:rPr>
                <w:rFonts w:ascii="仿宋_GB2312" w:hAnsi="仿宋_GB2312" w:cs="仿宋_GB2312" w:eastAsia="仿宋_GB2312"/>
              </w:rPr>
              <w:t>根据供应商针对本项目提供相关工程质量保修承诺 进行评审，其中： （1）质量保证期内的保障工作服务方案及工作计划，承诺完善计 0.1-1分；未提供的得 0分； （2）维修保养服务内容及相关标准， 内容合理、可行、针对性强计 0.1-1分，未提供的得 0 分； （3）有巡查或复查计划及质量保障措施，措施完善计 0.1-1 分；未提供的得 0 分； （4）对工程维修服务响应时限有明确的承诺，承诺完善计 0.1-1 分；未提供的得 0 分。（5）延长保修：在基本保修的前提下，延长一年计1分，最多计2分。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保修方案.docx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经初审合格的供应商，其响应报价为有效报价。 评标基准价：即满足竞争性磋商文件要求且最终响应报价最低的报价为评标基准价。 其他供应商的价格分统一按照下列公式计算。 响应报价计分=(评标基准价／响应报价)×45</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详见附件：保修方案.docx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详见附件：主要设备及材料选用情况.docx</w:t>
      </w:r>
    </w:p>
    <w:p>
      <w:pPr>
        <w:pStyle w:val="null3"/>
        <w:ind w:firstLine="960"/>
      </w:pPr>
      <w:r>
        <w:rPr>
          <w:rFonts w:ascii="仿宋_GB2312" w:hAnsi="仿宋_GB2312" w:cs="仿宋_GB2312" w:eastAsia="仿宋_GB2312"/>
        </w:rPr>
        <w:t>详见附件：供应商资格要求.docx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