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版本号：LHZBZC202508220250626001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金花校区西四楼学生公寓2-7层水房及卫生间改造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LHZBZC2025082</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金花校区西四楼学生公寓2-7层水房及卫生间改造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LHZBZC2025082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金花校区西四楼学生公寓2-7层水房及卫生间改造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本项目为西安理工大学金花校区西四楼学生公寓2-7层水房及卫生间改造项目，工程内容为金花校区西四楼学生公寓2-7层共32间水房和卫生间改造等。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采购包1（金花校区西四楼学生公寓2-7层水房及卫生间改造）：属于专门面向中小企业采购。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2、企业资质：供应商须具备建设行政主管部门核发的房屋建筑工程施工总承包三级以上（含三级）资质，具有有效的安全生产许可证。</w:t>
      </w:r>
    </w:p>
    <w:p>
      <w:pPr>
        <w:pStyle w:val="null3"/>
      </w:pPr>
      <w:r>
        <w:rPr>
          <w:rFonts w:ascii="仿宋_GB2312" w:hAnsi="仿宋_GB2312" w:cs="仿宋_GB2312" w:eastAsia="仿宋_GB2312"/>
        </w:rPr>
        <w:t>3、拟派项目经理要求：项目经理需具有建筑工程专业二级及以上注册建造师执业资格，并具有合法有效的安全生产考核合格证（建安B证），须在本单位注册，无不良信用记录，无在建工程（承诺书）。</w:t>
      </w:r>
    </w:p>
    <w:p>
      <w:pPr>
        <w:pStyle w:val="null3"/>
      </w:pPr>
      <w:r>
        <w:rPr>
          <w:rFonts w:ascii="仿宋_GB2312" w:hAnsi="仿宋_GB2312" w:cs="仿宋_GB2312" w:eastAsia="仿宋_GB2312"/>
        </w:rPr>
        <w:t>4、身份证明：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5、基本信息要求：供应商基本信息及项目经理执业基本信息应在“陕西省住房和城乡建设厅”可查询。供应商递交磋商响应文件截止时间前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6、非联合体：本项目不允许联合体磋商。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82312850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黄沛、宋妍、陈新鹏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开户名称：凌辉建设工程咨询有限公司</w:t>
            </w:r>
          </w:p>
          <w:p>
            <w:pPr>
              <w:pStyle w:val="null3"/>
            </w:pPr>
            <w:r>
              <w:rPr>
                <w:rFonts w:ascii="仿宋_GB2312" w:hAnsi="仿宋_GB2312" w:cs="仿宋_GB2312" w:eastAsia="仿宋_GB2312"/>
              </w:rPr>
              <w:t>开户银行：招商银行西安分行南大街支行</w:t>
            </w:r>
          </w:p>
          <w:p>
            <w:pPr>
              <w:pStyle w:val="null3"/>
            </w:pPr>
            <w:r>
              <w:rPr>
                <w:rFonts w:ascii="仿宋_GB2312" w:hAnsi="仿宋_GB2312" w:cs="仿宋_GB2312" w:eastAsia="仿宋_GB2312"/>
              </w:rPr>
              <w:t>银行账号：292083674310001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80万以下项目招标代理服务费：5000.00元/项，80-400万项目招标代理服务费调整比例：参照国家计委颁发的《招标代理服务收费管理暂行办法》（计价格[2002]1980号）及（发改办价格[2011]534号）规定的70.00%计费。2、造价咨询费：80万以下项目造价服务费：2000.00元/项，80-400万项目造价服务费调整比例：按照陕价行发（2014）88号文规定的70.00%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踏勘时间：2025-07-07 09:00:00</w:t>
            </w:r>
          </w:p>
          <w:p>
            <w:pPr>
              <w:pStyle w:val="null3"/>
              <w:ind w:firstLine="975"/>
            </w:pPr>
            <w:r>
              <w:rPr>
                <w:rFonts w:ascii="仿宋_GB2312" w:hAnsi="仿宋_GB2312" w:cs="仿宋_GB2312" w:eastAsia="仿宋_GB2312"/>
              </w:rPr>
              <w:t>踏勘地点：西安理工大学金花校区东门</w:t>
            </w:r>
          </w:p>
          <w:p>
            <w:pPr>
              <w:pStyle w:val="null3"/>
              <w:ind w:firstLine="975"/>
            </w:pPr>
            <w:r>
              <w:rPr>
                <w:rFonts w:ascii="仿宋_GB2312" w:hAnsi="仿宋_GB2312" w:cs="仿宋_GB2312" w:eastAsia="仿宋_GB2312"/>
              </w:rPr>
              <w:t>联系人：宋妍</w:t>
            </w:r>
          </w:p>
          <w:p>
            <w:pPr>
              <w:pStyle w:val="null3"/>
              <w:ind w:firstLine="975"/>
            </w:pPr>
            <w:r>
              <w:rPr>
                <w:rFonts w:ascii="仿宋_GB2312" w:hAnsi="仿宋_GB2312" w:cs="仿宋_GB2312" w:eastAsia="仿宋_GB2312"/>
              </w:rPr>
              <w:t>联系电话号码：15029085129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一、按照磋商文件要求和合同约定执行，依据国家相关行业质量验收规范合格标准进行验收。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联系人：黄沛、宋妍、陈新鹏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1,140,500.00</w:t>
      </w:r>
    </w:p>
    <w:p>
      <w:pPr>
        <w:pStyle w:val="null3"/>
      </w:pPr>
      <w:r>
        <w:rPr>
          <w:rFonts w:ascii="仿宋_GB2312" w:hAnsi="仿宋_GB2312" w:cs="仿宋_GB2312" w:eastAsia="仿宋_GB2312"/>
        </w:rPr>
        <w:t>采购包最高限价（元）: 1,073,643.28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金花校区西四楼学生公寓2-7层水房及卫生间改造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1,140,500.00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标的名称：金花校区西四楼学生公寓2-7层水房及卫生间改造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1、磋商时应在工程量清单及报价中注明主要材料选用品牌、规格型号等。 2、本项目为固定单价合同，响应单位要根据现场实际核实工程量。</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1.工期：35日历天。 2.技术要求:（1）供应商应按招标文件中施工图纸、技术要求和工程量清单的要求编制磋商响应文件，并在磋商响应文件中注明主要材料选用品牌、规格型号等。如供应商在磋商响应文件中未按要求注明材料、设备品牌，则招标人有权按最有利于招标人的方式指定材料、设备品牌，主要推荐品牌如下：乳胶漆：立邦、三棵树、多乐士等同档次级别品牌。洁具：箭牌、恒洁、安华等同档次级别品牌。灯具：欧普、佛山、三雄极光等同档次级别品牌。给排水管道：日丰、联塑、川路等同档次级别品牌。开关插座：欧普、正泰、三雄极光等同档次级别品牌。墙地砖：东鹏、萨米特、箭牌等同档次级别品牌。要求所有建筑材料采用环保型材料，阻燃、无毒、无害、无放射性。施工时，需提供主要施工材料来源渠道合法的证明文件（包括但不限于销售协议、代理协议、原厂授权等）。因施工不善或材料使用不当发生工程事故及人员伤害的，责任和由此而发生的各种费用由施工单位全部承担。（2）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 3.质保期：质保期为两年，如承诺延长的按承诺期限。 4.合同签订、施工方进场后，支付合同价款的40%预付款，工程完工并经学校现场管理人员初验合格后，支付至合同价款的80%；工程竣工验收合格、结算经甲方审定并完成资料归档后，支付剩余全部工程款。 5.其它要求： （1）施工单位的食宿由施工方自行解决，应遵守国家和建设单位的各项规定，及时至建设单位保卫处办理入校相关手续，施工期间的所有安全问题及由此而发生的各种费用由施工单位全部负责或承担。 （2）严格按照原设计图纸进行施工，不得私自变更；如因建设单位要求和现场情况需要变更签证，需严格按照建设单位签证变更管理办法相关程序申报。 （3）施工产生的电费和水费由甲方安装电表和水表计量，水费 5.80元/吨，电费 0.80 元/度，乙方每次申请支付进度款前先向甲方缴纳水电费。 （4）施工单位必须按照建设单位要求，严格按照工期要求保质保量完成工程；若延误工期，每日按照合同总额的千分之五处罚（若因天气等不可抗力因素导致延误，需作书面说明）。 （5）确定中标单位后，由现场负责人组织工程技术交底会，同时签订合同。中标单位在规定的时间内未签署合同或不遵守招标要求，采购人有权取消其中标资格，并将中标资格授予备选的第二预中标单位。 （6）施工前，中标单位应向建设单位后勤处维修管理科提交项目人员安排、进度计划表、安全措施、材料采购计划等（与磋商响应文件一致），如有变动，应做书面说明并经建设单位后勤处维修管理科认可。 （7）施工过程中，施工单位必须严格按照招标文件技术要求施工，服从现场负责人安排，尤其对隐蔽工程、主材进场等环节做好记录、验收工作，确保施工质量符合工程施工相关规范。如发现有偷工减料、使用不合格的建筑材料等行为的，应立即停工整改，并承担由此造成的一切损失。 （8）施工单位须严格落实安全协议书相关条款和提交的安全措施，如设置施工安全标志、施工人员佩戴安全防护用品等。 （9）施工前要在门口张贴施工告示，明确工期、负责人及联系方式等，工程材料应集中堆放；施工时严格采取措施控制好扬尘、噪音；施工中产生的建筑垃圾应装袋后及时清理。 6.为顺利推进政府采购电子化交易平台应用工作，供应商需要在线提交所有通过电子化交易平台实施的政府采购项目的磋商响应文件。同时，中标人在领取中标通知书时需提交纸质版磋商响应文件正本壹份、副本贰套。质版文件内容应于电子版文件内容保持一致。纸质版磋商响应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未央区太华北路甲字88号大明宫中央广场A座22层代理部； 8.以保函形式交纳磋商保证金的，供应商应在磋商截止时间前将保函扫描成清晰的PDF文件，发送至邮箱670920970@qq.com（邮件或保证金转账命名：项目编号），并将保函原件单独递交至代理机构；供应商应在磋商响应文件中附保函复印件或扫描件。保函须由具有开具投标保函资格的单位开具；若供应商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 社保缴纳证明：提供自2024年12月01日至递交磋商响应文件截止之日内任意一个月的社会保障资金缴存单据或社保机构开具的社会保险参保缴费情况证明。依法不需要缴纳社会保障资金的供应商应提供相关文件证明。（3）税收缴纳证明：提供自2024年12月01日至递交磋商响应文件截止之日内已缴存任意一个月的依法缴纳税收的相关凭据，凭据应有税务机关或代收机关的公章或业务专用章。依法免税或无须缴纳税收的供应商，应提供相应证明文件。 （4）承诺书：提供具有履行本合同所必需的设备和专业技术能力的承诺。 （5）书面声明：参加政府采购活动前3年内，在经营活动中没有重大违法记录的书面声明。供应商需在项目电子化交易系统中按要求填写《响应函》完成承诺并进行电子签章。供应商需在第七章《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具有财务审计资质的单位出具的财务报审计告（成立时间至磋商时间不足一年的可提供成立后任意时段的财务报表）或磋商前三个月内基本开户银行出具的资信证明或财政部门认可的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供应商须具备建设行政主管部门核发的房屋建筑工程施工总承包三级以上（含三级）资质，具有有效的安全生产许可证。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项目经理需具有建筑工程专业二级及以上注册建造师执业资格，并具有合法有效的安全生产考核合格证（建安B证），须在本单位注册，无不良信用记录，无在建工程（承诺书）。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基本信息及项目经理执业基本信息应在“陕西省住房和城乡建设厅”可查询。供应商递交磋商响应文件截止时间前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技术服务合同条款及其他商务要求应答表 拒绝政府采购领域商业贿赂承诺书 强制优先采购产品承诺函 响应文件封面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根据供应商提供的①施工部署；②进度计划；③技术难点、应对措施；④施工流程图或工艺流程。 2.评审标准： ①完整性：内容详细全面，对本项目了解透彻； ②可实施性：切合本项目实际情况，方案全面、施工步骤清晰、合理； ③针对性：方案能够紧扣项目实际情况，内容科学合理。 3.赋分标准： ①施工部署：每完全满足一项评审标准得1分，满分3分； ②进度计划：每完全满足一项评审标准得1分，满分3分； ③技术难点、应对措施：每完全满足一项评审标准得1分，满分3分； ④施工流程图或工艺流程：每完全满足一项评审标准得1分，满分3分。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提供针对本项目实际需求编制的工程质量的技术组织措施含①质量目标；②质量管理体系完善度（体系需包含质量责任、人员培训、资源配置、质量检查、应急处理等环节）；③质量管理措施（需提供过往项目质量验收报告或第三方检测证明）。 2.评审标准： ①完整性：内容详细全面，对本项目了解透彻； ②可实施性：切合本项目实际情况，措施全面、清晰、合理； ③针对性：方案能够紧扣项目实际情况，内容科学合理。 3.赋分标准： ①质量目标：每完全满足一项评审标准得1分，满分3分； ②质量管理体系完善度：每完全满足一项评审标准得1分，满分3分； ③质量管理措施：每完全满足一项评审标准得1分，满分3分。以上内容缺项或未提供得0分。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1.评审内容 供应商提供针对本项目实际需求编制的安全文明施工的技术组织措施含①安全目标及文明施工措施（措施包含场地整洁、噪音控制、扬尘治理（需附扬尘监测设备布置图））；②安全体系健全度（体系包含安全管理制度、人员培训、应急演练、特种作业人员持证上岗管理）；③应急预案可行性（涵盖常见安全事故场景）。 2.评审标准： ①完整性：内容详细全面，对本项目了解透彻； ②可实施性：切合本项目实际情况，措施全面、清晰、合理； ③针对性：方案能够紧扣项目实际情况，内容科学合理。 3.赋分标准： ①安全目标及文明施工措施：每完全满足一项评审标准得1分，满分3分； ②安全体系健全度：每完全满足一项评审标准得1分，满分3分； ③应急预案可行性：每完全满足一项评审标准得1分，满分3分。以上内容缺项或未提供得0分。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供应商提供针对本项目实际需求编制的工期的技术组织措施含①工期计划；②关键节点工期分析；③延误工期补救措施。 2.评审标准： ①完整性：内容详细全面，对本项目了解透彻； ②可实施性：切合本项目实际情况，措施全面、清晰、合理； ③针对性：方案能够紧扣项目实际情况，内容科学合理。 3.赋分标准： ①工期计划：每完全满足一项评审标准得1分，满分3分； ②关键节点工期分析：每完全满足一项评审标准得1分，满分3分； ③延误工期补救措施：每完全满足一项评审标准得1分，满分3分。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1.评审内容 根据供应商投入的施工机械配备和材料投入计划：①施工机械配备；②材料投入计划（主要材料信息（名称、规格、数量等）与工程进度匹配）； 2.评审标准： ①齐全程度：齐全详细，能完全满足招标文件要求； ②实用性：质量有保障、使用率高、安全性能强； ③针对性：能紧扣项目实际情况，配置合理科学； 3.赋分标准： ①施工机械配备：每完全满足一项评审标准得1分，满分3分； ②材料投入计划：每完全满足一项评审标准得1分，满分3分； 以上内容缺项或未提供得0分。 材料环保性：提供主要材料（如瓷砖、水管）的检测报告，符合国家现行标准得2分，未提供或不合格不得分。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 保修期内服务措施（3分）：提供保修服务工作方案、回访计划及质量保修措施、保修团队人员名单及联系方式，每缺一项扣1分，每项有缺陷扣0.5分，扣完为止。 2. 保修承诺（2分）：质保期每延长半年得1分，最高2分；未延长此项不得分。 以上内容缺项或未提供得0分。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 根据供应商提供的：新技术、新产品、新工艺、新材料应用。 2.评审标准： ①可实施性：切合本项目实际情况，方案全面、实施步骤清晰、合理； ②针对性：方案能够紧扣项目实际情况，内容科学合理； 3.赋分标准： 每完全满足一项评审标准得2分，满分4分。 以上内容缺项或未提供得0分。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提供2022年6月1日至今类似项目业绩，每提供一项有效业绩（合同需含项目金额、工期、质量标准、签署时间等关键页）得1分，满分5分。 注：时间以合同签订时间为准，提供加盖供应商公章的合同复印件。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