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版本号：HXGJXM2025-ZC-GK103420250627001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米、面、油等食材</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HXGJXM2025-ZC-GK1034</w:t>
      </w:r>
      <w:r>
        <w:br/>
      </w:r>
      <w:r>
        <w:br/>
      </w:r>
      <w:r>
        <w:br/>
      </w:r>
    </w:p>
    <w:p>
      <w:pPr>
        <w:pStyle w:val="null3"/>
        <w:jc w:val="center"/>
        <w:outlineLvl w:val="2"/>
      </w:pPr>
      <w:r>
        <w:rPr>
          <w:rFonts w:ascii="仿宋_GB2312" w:hAnsi="仿宋_GB2312" w:cs="仿宋_GB2312" w:eastAsia="仿宋_GB2312"/>
          <w:sz w:val="28"/>
          <w:b/>
        </w:rPr>
        <w:t>西北妇女儿童医院</w:t>
      </w:r>
    </w:p>
    <w:p>
      <w:pPr>
        <w:pStyle w:val="null3"/>
        <w:jc w:val="center"/>
        <w:outlineLvl w:val="2"/>
      </w:pPr>
      <w:r>
        <w:rPr>
          <w:rFonts w:ascii="仿宋_GB2312" w:hAnsi="仿宋_GB2312" w:cs="仿宋_GB2312" w:eastAsia="仿宋_GB2312"/>
          <w:sz w:val="28"/>
          <w:b/>
        </w:rPr>
        <w:t>华夏国际项目管理有限公司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华夏国际项目管理有限公司</w:t>
      </w:r>
      <w:r>
        <w:rPr>
          <w:rFonts w:ascii="仿宋_GB2312" w:hAnsi="仿宋_GB2312" w:cs="仿宋_GB2312" w:eastAsia="仿宋_GB2312"/>
        </w:rPr>
        <w:t>（以下简称“代理机构”）受</w:t>
      </w:r>
      <w:r>
        <w:rPr>
          <w:rFonts w:ascii="仿宋_GB2312" w:hAnsi="仿宋_GB2312" w:cs="仿宋_GB2312" w:eastAsia="仿宋_GB2312"/>
        </w:rPr>
        <w:t>西北妇女儿童医院</w:t>
      </w:r>
      <w:r>
        <w:rPr>
          <w:rFonts w:ascii="仿宋_GB2312" w:hAnsi="仿宋_GB2312" w:cs="仿宋_GB2312" w:eastAsia="仿宋_GB2312"/>
        </w:rPr>
        <w:t>委托，拟对</w:t>
      </w:r>
      <w:r>
        <w:rPr>
          <w:rFonts w:ascii="仿宋_GB2312" w:hAnsi="仿宋_GB2312" w:cs="仿宋_GB2312" w:eastAsia="仿宋_GB2312"/>
        </w:rPr>
        <w:t>米、面、油等食材</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HXGJXM2025-ZC-GK1034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米、面、油等食材</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米、面、油等食材。具体详见招标文件第三章相关要求。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p>
      <w:pPr>
        <w:pStyle w:val="null3"/>
      </w:pPr>
      <w:r>
        <w:rPr>
          <w:rFonts w:ascii="仿宋_GB2312" w:hAnsi="仿宋_GB2312" w:cs="仿宋_GB2312" w:eastAsia="仿宋_GB2312"/>
        </w:rPr>
        <w:t>2、供应商资质：供应商为制造商的须提供《食品生产许可证》；供应商为经销商的须提供本单位的《食品经营许可证》或在市场监督管理部门备案（以营业执照经营范围为准）。</w:t>
      </w:r>
    </w:p>
    <w:p>
      <w:pPr>
        <w:pStyle w:val="null3"/>
      </w:pPr>
      <w:r>
        <w:rPr>
          <w:rFonts w:ascii="仿宋_GB2312" w:hAnsi="仿宋_GB2312" w:cs="仿宋_GB2312" w:eastAsia="仿宋_GB2312"/>
        </w:rPr>
        <w:t>3、信用记录：供应商未被“信用中国”网站(https://www.creditchina.gov.cn/) 列入失信被执行人和重大税收违法失信主体，未被中国政府采购网(http://www.ccgp.gov.cn/) 列入政府采购严重违法失信行为记录名单。(采购代理机构于本项目招标公告发布后至开标当日查询相关信用记录，对列入失信被执行人、重大税收违法失信主体、政府采购严重违法失信行为记录名单及其他不符合《中华人民共和国政府采购法》第二十二条规定的供 应商，采购代理机构将拒绝其参与政府采购活动，查询结果以电子或纸质方式留存)</w:t>
      </w:r>
    </w:p>
    <w:p>
      <w:pPr>
        <w:pStyle w:val="null3"/>
      </w:pPr>
      <w:r>
        <w:rPr>
          <w:rFonts w:ascii="仿宋_GB2312" w:hAnsi="仿宋_GB2312" w:cs="仿宋_GB2312" w:eastAsia="仿宋_GB2312"/>
        </w:rPr>
        <w:t>4、投标保证金：投标保证金缴纳凭证或担保机构出具的保函。</w:t>
      </w:r>
    </w:p>
    <w:p>
      <w:pPr>
        <w:pStyle w:val="null3"/>
      </w:pPr>
      <w:r>
        <w:rPr>
          <w:rFonts w:ascii="仿宋_GB2312" w:hAnsi="仿宋_GB2312" w:cs="仿宋_GB2312" w:eastAsia="仿宋_GB2312"/>
        </w:rPr>
        <w:t>5、非联合体：本项目不接受联合体投标。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西安市雁翔路1616号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寇老师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029-89550667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西安市莲湖区二环南路西段202号九座花园16楼1605室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魏依依、陆文科、张艳萍、康敏茹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w:t>
            </w:r>
          </w:p>
          <w:p>
            <w:pPr>
              <w:pStyle w:val="null3"/>
            </w:pPr>
            <w:r>
              <w:rPr>
                <w:rFonts w:ascii="仿宋_GB2312" w:hAnsi="仿宋_GB2312" w:cs="仿宋_GB2312" w:eastAsia="仿宋_GB2312"/>
              </w:rPr>
              <w:t>开户银行：中国工商银行股份有限公司西安城南科技支行</w:t>
            </w:r>
          </w:p>
          <w:p>
            <w:pPr>
              <w:pStyle w:val="null3"/>
            </w:pPr>
            <w:r>
              <w:rPr>
                <w:rFonts w:ascii="仿宋_GB2312" w:hAnsi="仿宋_GB2312" w:cs="仿宋_GB2312" w:eastAsia="仿宋_GB2312"/>
              </w:rPr>
              <w:t>银行账号：3700024819200130193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代理服务费收费标准：参照国家计委关于印发《招标代理服务收费管理暂行办法》(计价格[2002]1980号) 的通知和国家发展和改革委员会办公厅颁发的《关于招标代理服务收费有关问题的通知》(发改办价格[2003]857号的有关规定下浮20%执行。 开户名称：华夏国际项目管理（西安）有限公司 开户银行：中国工商银行股份有限公司西安城南科技支行 银行账号：3700024819200130193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西北妇女儿童医院</w:t>
      </w:r>
      <w:r>
        <w:rPr>
          <w:rFonts w:ascii="仿宋_GB2312" w:hAnsi="仿宋_GB2312" w:cs="仿宋_GB2312" w:eastAsia="仿宋_GB2312"/>
        </w:rPr>
        <w:t>和</w:t>
      </w:r>
      <w:r>
        <w:rPr>
          <w:rFonts w:ascii="仿宋_GB2312" w:hAnsi="仿宋_GB2312" w:cs="仿宋_GB2312" w:eastAsia="仿宋_GB2312"/>
        </w:rPr>
        <w:t>华夏国际项目管理有限公司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西北妇女儿童医院</w:t>
      </w:r>
      <w:r>
        <w:rPr>
          <w:rFonts w:ascii="仿宋_GB2312" w:hAnsi="仿宋_GB2312" w:cs="仿宋_GB2312" w:eastAsia="仿宋_GB2312"/>
        </w:rPr>
        <w:t>负责解释。除上述招标文件内容，其他内容由</w:t>
      </w:r>
      <w:r>
        <w:rPr>
          <w:rFonts w:ascii="仿宋_GB2312" w:hAnsi="仿宋_GB2312" w:cs="仿宋_GB2312" w:eastAsia="仿宋_GB2312"/>
        </w:rPr>
        <w:t>华夏国际项目管理有限公司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联系人：魏依依、陆文科、张艳萍、康敏茹</w:t>
      </w:r>
    </w:p>
    <w:p>
      <w:pPr>
        <w:pStyle w:val="null3"/>
      </w:pPr>
      <w:r>
        <w:rPr>
          <w:rFonts w:ascii="仿宋_GB2312" w:hAnsi="仿宋_GB2312" w:cs="仿宋_GB2312" w:eastAsia="仿宋_GB2312"/>
        </w:rPr>
        <w:t>联系电话：029-88899970-805</w:t>
      </w:r>
    </w:p>
    <w:p>
      <w:pPr>
        <w:pStyle w:val="null3"/>
      </w:pPr>
      <w:r>
        <w:rPr>
          <w:rFonts w:ascii="仿宋_GB2312" w:hAnsi="仿宋_GB2312" w:cs="仿宋_GB2312" w:eastAsia="仿宋_GB2312"/>
        </w:rPr>
        <w:t>地址：西安市莲湖区二环南路西段202号九座花园16楼1605室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米、面、油等食材。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米、面、油等食材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标的名称：米、面、油等食材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产品要求：</w:t>
            </w:r>
          </w:p>
          <w:tbl>
            <w:tblPr>
              <w:tblInd w:type="dxa" w:w="120"/>
              <w:tblBorders>
                <w:top w:val="none" w:color="000000" w:sz="4"/>
                <w:left w:val="none" w:color="000000" w:sz="4"/>
                <w:bottom w:val="none" w:color="000000" w:sz="4"/>
                <w:right w:val="none" w:color="000000" w:sz="4"/>
                <w:insideH w:val="none"/>
                <w:insideV w:val="none"/>
              </w:tblBorders>
            </w:tblPr>
            <w:tblGrid>
              <w:gridCol w:w="212"/>
              <w:gridCol w:w="427"/>
              <w:gridCol w:w="1434"/>
              <w:gridCol w:w="479"/>
            </w:tblGrid>
            <w:tr>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名称</w:t>
                  </w:r>
                </w:p>
              </w:tc>
              <w:tc>
                <w:tcPr>
                  <w:tcW w:type="dxa" w:w="1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技术要求</w:t>
                  </w:r>
                </w:p>
              </w:tc>
              <w:tc>
                <w:tcPr>
                  <w:tcW w:type="dxa" w:w="4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大米</w:t>
                  </w:r>
                </w:p>
                <w:p>
                  <w:pPr>
                    <w:pStyle w:val="null3"/>
                    <w:jc w:val="center"/>
                  </w:pPr>
                  <w:r>
                    <w:rPr>
                      <w:rFonts w:ascii="仿宋_GB2312" w:hAnsi="仿宋_GB2312" w:cs="仿宋_GB2312" w:eastAsia="仿宋_GB2312"/>
                      <w:sz w:val="19"/>
                    </w:rPr>
                    <w:t>（核心产品）</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1.品种：粳米</w:t>
                  </w:r>
                </w:p>
                <w:p>
                  <w:pPr>
                    <w:pStyle w:val="null3"/>
                    <w:jc w:val="left"/>
                  </w:pPr>
                  <w:r>
                    <w:rPr>
                      <w:rFonts w:ascii="仿宋_GB2312" w:hAnsi="仿宋_GB2312" w:cs="仿宋_GB2312" w:eastAsia="仿宋_GB2312"/>
                      <w:sz w:val="19"/>
                    </w:rPr>
                    <w:t>2.质量标准：具有大米固有色泽与香味，无污染、虫害，色泽、气味、口味正常；无异味、霉味；无虫蛀、结块、挂丝或杂质等，执行国家（GB/T 1354-2018）质量标准。</w:t>
                  </w:r>
                </w:p>
                <w:p>
                  <w:pPr>
                    <w:pStyle w:val="null3"/>
                    <w:jc w:val="left"/>
                  </w:pPr>
                  <w:r>
                    <w:rPr>
                      <w:rFonts w:ascii="仿宋_GB2312" w:hAnsi="仿宋_GB2312" w:cs="仿宋_GB2312" w:eastAsia="仿宋_GB2312"/>
                      <w:sz w:val="19"/>
                    </w:rPr>
                    <w:t>3.规格：25kg/袋</w:t>
                  </w:r>
                </w:p>
                <w:p>
                  <w:pPr>
                    <w:pStyle w:val="null3"/>
                    <w:jc w:val="left"/>
                  </w:pPr>
                  <w:r>
                    <w:rPr>
                      <w:rFonts w:ascii="仿宋_GB2312" w:hAnsi="仿宋_GB2312" w:cs="仿宋_GB2312" w:eastAsia="仿宋_GB2312"/>
                      <w:sz w:val="19"/>
                    </w:rPr>
                    <w:t>4.包装要求：一次性包装。应符合《粮食销售包装》（GB/T17109）要求,包装袋清洁无污渍、无破损、无渗漏。</w:t>
                  </w:r>
                </w:p>
                <w:p>
                  <w:pPr>
                    <w:pStyle w:val="null3"/>
                    <w:jc w:val="left"/>
                  </w:pPr>
                  <w:r>
                    <w:rPr>
                      <w:rFonts w:ascii="仿宋_GB2312" w:hAnsi="仿宋_GB2312" w:cs="仿宋_GB2312" w:eastAsia="仿宋_GB2312"/>
                      <w:sz w:val="19"/>
                    </w:rPr>
                    <w:t>5.标识要求：有生产许可证号，注册商标，执行标准；标明产品名称、净含量、质量等级、生产企业名称、电话、地址、生产日期、保质期及营养成分表。</w:t>
                  </w:r>
                </w:p>
                <w:p>
                  <w:pPr>
                    <w:pStyle w:val="null3"/>
                    <w:jc w:val="left"/>
                  </w:pPr>
                  <w:r>
                    <w:rPr>
                      <w:rFonts w:ascii="仿宋_GB2312" w:hAnsi="仿宋_GB2312" w:cs="仿宋_GB2312" w:eastAsia="仿宋_GB2312"/>
                      <w:sz w:val="19"/>
                    </w:rPr>
                    <w:t>6.供货时剩余保质期不少于标注保质期三分之二。</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2500袋</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馒头粉</w:t>
                  </w:r>
                </w:p>
                <w:p>
                  <w:pPr>
                    <w:pStyle w:val="null3"/>
                    <w:jc w:val="center"/>
                  </w:pPr>
                  <w:r>
                    <w:rPr>
                      <w:rFonts w:ascii="仿宋_GB2312" w:hAnsi="仿宋_GB2312" w:cs="仿宋_GB2312" w:eastAsia="仿宋_GB2312"/>
                      <w:sz w:val="19"/>
                    </w:rPr>
                    <w:t>（精制粉）</w:t>
                  </w:r>
                </w:p>
              </w:tc>
              <w:tc>
                <w:tcPr>
                  <w:tcW w:type="dxa" w:w="14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1.质量标准：无污染、虫害，色泽、气味、口味正常；无异味、霉味；无虫蛀、结块、挂丝或杂质异物；色泽呈白色或微黄色；外观呈细粉末状，无杂质，手指捻捏时无粗粒感，放开后不成团； 具有面粉正常气味，无异味。</w:t>
                  </w:r>
                </w:p>
                <w:p>
                  <w:pPr>
                    <w:pStyle w:val="null3"/>
                    <w:jc w:val="left"/>
                  </w:pPr>
                  <w:r>
                    <w:rPr>
                      <w:rFonts w:ascii="仿宋_GB2312" w:hAnsi="仿宋_GB2312" w:cs="仿宋_GB2312" w:eastAsia="仿宋_GB2312"/>
                      <w:sz w:val="19"/>
                    </w:rPr>
                    <w:t>小麦面粉执行国家（GB/T 1355-2021）质量标准。高筋小麦粉执行国家（GB/T 8607-1988）标准。精制粉执行国家（GB/T 1355-2021）质量标准。</w:t>
                  </w:r>
                </w:p>
                <w:p>
                  <w:pPr>
                    <w:pStyle w:val="null3"/>
                    <w:jc w:val="left"/>
                  </w:pPr>
                  <w:r>
                    <w:rPr>
                      <w:rFonts w:ascii="仿宋_GB2312" w:hAnsi="仿宋_GB2312" w:cs="仿宋_GB2312" w:eastAsia="仿宋_GB2312"/>
                      <w:sz w:val="19"/>
                    </w:rPr>
                    <w:t>2.规格：25kg/袋</w:t>
                  </w:r>
                </w:p>
                <w:p>
                  <w:pPr>
                    <w:pStyle w:val="null3"/>
                    <w:jc w:val="left"/>
                  </w:pPr>
                  <w:r>
                    <w:rPr>
                      <w:rFonts w:ascii="仿宋_GB2312" w:hAnsi="仿宋_GB2312" w:cs="仿宋_GB2312" w:eastAsia="仿宋_GB2312"/>
                      <w:sz w:val="19"/>
                    </w:rPr>
                    <w:t>3.包装要求：一次性包装。应符合《粮食销售包装》（GB/T17109）要求,包装袋清洁无污渍、无破损、无渗漏。</w:t>
                  </w:r>
                </w:p>
                <w:p>
                  <w:pPr>
                    <w:pStyle w:val="null3"/>
                    <w:jc w:val="left"/>
                  </w:pPr>
                  <w:r>
                    <w:rPr>
                      <w:rFonts w:ascii="仿宋_GB2312" w:hAnsi="仿宋_GB2312" w:cs="仿宋_GB2312" w:eastAsia="仿宋_GB2312"/>
                      <w:sz w:val="19"/>
                    </w:rPr>
                    <w:t>4.标识要求：有生产许可证号，注册商标，执行标准；标明产品名称、净含量、质量等级、生产企业名称、电话、地址、生产日期、保质期及营养成分表。</w:t>
                  </w:r>
                </w:p>
                <w:p>
                  <w:pPr>
                    <w:pStyle w:val="null3"/>
                    <w:jc w:val="left"/>
                  </w:pPr>
                  <w:r>
                    <w:rPr>
                      <w:rFonts w:ascii="仿宋_GB2312" w:hAnsi="仿宋_GB2312" w:cs="仿宋_GB2312" w:eastAsia="仿宋_GB2312"/>
                      <w:sz w:val="19"/>
                    </w:rPr>
                    <w:t>5.供货时剩余保质期不少于标注保质期三分之二</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1600袋</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面条粉</w:t>
                  </w:r>
                </w:p>
                <w:p>
                  <w:pPr>
                    <w:pStyle w:val="null3"/>
                    <w:jc w:val="center"/>
                  </w:pPr>
                  <w:r>
                    <w:rPr>
                      <w:rFonts w:ascii="仿宋_GB2312" w:hAnsi="仿宋_GB2312" w:cs="仿宋_GB2312" w:eastAsia="仿宋_GB2312"/>
                      <w:sz w:val="19"/>
                    </w:rPr>
                    <w:t>（高筋小麦粉）</w:t>
                  </w:r>
                </w:p>
              </w:tc>
              <w:tc>
                <w:tcPr>
                  <w:tcW w:type="dxa" w:w="1434"/>
                  <w:vMerge/>
                  <w:tcBorders>
                    <w:top w:val="none" w:color="000000" w:sz="4"/>
                    <w:left w:val="non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800袋</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大豆油</w:t>
                  </w:r>
                </w:p>
                <w:p>
                  <w:pPr>
                    <w:pStyle w:val="null3"/>
                    <w:jc w:val="center"/>
                  </w:pPr>
                  <w:r>
                    <w:rPr>
                      <w:rFonts w:ascii="仿宋_GB2312" w:hAnsi="仿宋_GB2312" w:cs="仿宋_GB2312" w:eastAsia="仿宋_GB2312"/>
                      <w:sz w:val="19"/>
                    </w:rPr>
                    <w:t>（一级，非转基因）</w:t>
                  </w:r>
                </w:p>
              </w:tc>
              <w:tc>
                <w:tcPr>
                  <w:tcW w:type="dxa" w:w="14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1.质量标准：具有正常植物油的色泽、透明度、气味和滋味，无焦臭、酸败及其它异味。大豆油执行国家（GB/T 1535-2017）质量标准。菜籽油必须符合国家（GB/T 1536-2021）标准。</w:t>
                  </w:r>
                </w:p>
                <w:p>
                  <w:pPr>
                    <w:pStyle w:val="null3"/>
                    <w:jc w:val="left"/>
                  </w:pPr>
                  <w:r>
                    <w:rPr>
                      <w:rFonts w:ascii="仿宋_GB2312" w:hAnsi="仿宋_GB2312" w:cs="仿宋_GB2312" w:eastAsia="仿宋_GB2312"/>
                      <w:sz w:val="19"/>
                    </w:rPr>
                    <w:t>2.规格：每桶(件)16.4（±0.5） 升</w:t>
                  </w:r>
                </w:p>
                <w:p>
                  <w:pPr>
                    <w:pStyle w:val="null3"/>
                    <w:jc w:val="left"/>
                  </w:pPr>
                  <w:r>
                    <w:rPr>
                      <w:rFonts w:ascii="仿宋_GB2312" w:hAnsi="仿宋_GB2312" w:cs="仿宋_GB2312" w:eastAsia="仿宋_GB2312"/>
                      <w:sz w:val="19"/>
                    </w:rPr>
                    <w:t>3.包装要求：一次性包装，应符合GB7718\GB28050要求，包装桶清洁透明、无污渍，无破损、无渗漏，符合国家食品卫生标准的规定。</w:t>
                  </w:r>
                </w:p>
                <w:p>
                  <w:pPr>
                    <w:pStyle w:val="null3"/>
                    <w:jc w:val="left"/>
                  </w:pPr>
                  <w:r>
                    <w:rPr>
                      <w:rFonts w:ascii="仿宋_GB2312" w:hAnsi="仿宋_GB2312" w:cs="仿宋_GB2312" w:eastAsia="仿宋_GB2312"/>
                      <w:sz w:val="19"/>
                    </w:rPr>
                    <w:t>4.标识要求：有生产许可证号，注册商标，执行标准；标明产品名称、净含量、生产企业名称、电话、地址、 生产日期、保质期及营养成分表。</w:t>
                  </w:r>
                </w:p>
                <w:p>
                  <w:pPr>
                    <w:pStyle w:val="null3"/>
                    <w:jc w:val="left"/>
                  </w:pPr>
                  <w:r>
                    <w:rPr>
                      <w:rFonts w:ascii="仿宋_GB2312" w:hAnsi="仿宋_GB2312" w:cs="仿宋_GB2312" w:eastAsia="仿宋_GB2312"/>
                      <w:sz w:val="19"/>
                    </w:rPr>
                    <w:t>5.供货时剩余保质期不少于标注保质期三分之二</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1600桶</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菜籽油</w:t>
                  </w:r>
                </w:p>
                <w:p>
                  <w:pPr>
                    <w:pStyle w:val="null3"/>
                    <w:jc w:val="center"/>
                  </w:pPr>
                  <w:r>
                    <w:rPr>
                      <w:rFonts w:ascii="仿宋_GB2312" w:hAnsi="仿宋_GB2312" w:cs="仿宋_GB2312" w:eastAsia="仿宋_GB2312"/>
                      <w:sz w:val="19"/>
                    </w:rPr>
                    <w:t>（二级及以上，非转基因）</w:t>
                  </w:r>
                </w:p>
              </w:tc>
              <w:tc>
                <w:tcPr>
                  <w:tcW w:type="dxa" w:w="1434"/>
                  <w:vMerge/>
                  <w:tcBorders>
                    <w:top w:val="none" w:color="000000" w:sz="4"/>
                    <w:left w:val="none" w:color="000000" w:sz="4"/>
                    <w:bottom w:val="singl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800桶</w:t>
                  </w:r>
                </w:p>
              </w:tc>
            </w:tr>
            <w:tr>
              <w:tc>
                <w:tcPr>
                  <w:tcW w:type="dxa" w:w="255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注：清单中数量为预估数量，最终以实际发生数量为准据实结算。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配送要求：</w:t>
            </w:r>
          </w:p>
          <w:p>
            <w:pPr>
              <w:pStyle w:val="null3"/>
              <w:jc w:val="left"/>
            </w:pPr>
            <w:r>
              <w:rPr>
                <w:rFonts w:ascii="仿宋_GB2312" w:hAnsi="仿宋_GB2312" w:cs="仿宋_GB2312" w:eastAsia="仿宋_GB2312"/>
              </w:rPr>
              <w:t>（1）供应商必须按照采购人要求的种类、规格进行供货，满足采购人使用需求。所有食材采购均以采购人通知为准，采购人有权根据实际需求量随时调整采购计划及供货时间段。</w:t>
            </w:r>
          </w:p>
          <w:p>
            <w:pPr>
              <w:pStyle w:val="null3"/>
              <w:jc w:val="left"/>
            </w:pPr>
            <w:r>
              <w:rPr>
                <w:rFonts w:ascii="仿宋_GB2312" w:hAnsi="仿宋_GB2312" w:cs="仿宋_GB2312" w:eastAsia="仿宋_GB2312"/>
              </w:rPr>
              <w:t>（2）投标人自备送货车，安排专人及时供货，装卸费、送货费用及运输安全由供货方承担；</w:t>
            </w:r>
          </w:p>
          <w:p>
            <w:pPr>
              <w:pStyle w:val="null3"/>
              <w:jc w:val="left"/>
            </w:pPr>
            <w:r>
              <w:rPr>
                <w:rFonts w:ascii="仿宋_GB2312" w:hAnsi="仿宋_GB2312" w:cs="仿宋_GB2312" w:eastAsia="仿宋_GB2312"/>
              </w:rPr>
              <w:t>（3）采购人提前两天向供应商申报供货计划，供应商在接到采购方通知后1天内配送到位。供货商负责送货装卸，费用自理。</w:t>
            </w:r>
          </w:p>
          <w:p>
            <w:pPr>
              <w:pStyle w:val="null3"/>
              <w:jc w:val="left"/>
            </w:pPr>
            <w:r>
              <w:rPr>
                <w:rFonts w:ascii="仿宋_GB2312" w:hAnsi="仿宋_GB2312" w:cs="仿宋_GB2312" w:eastAsia="仿宋_GB2312"/>
              </w:rPr>
              <w:t>（4）特殊情况下，职工食堂需要的小批量的急用物资，供货方应予以1个小时内解决。</w:t>
            </w:r>
          </w:p>
          <w:p>
            <w:pPr>
              <w:pStyle w:val="null3"/>
              <w:jc w:val="left"/>
            </w:pPr>
            <w:r>
              <w:rPr>
                <w:rFonts w:ascii="仿宋_GB2312" w:hAnsi="仿宋_GB2312" w:cs="仿宋_GB2312" w:eastAsia="仿宋_GB2312"/>
              </w:rPr>
              <w:t>（5）提供生产企业的资质证明（首次供应时提供）：《营业执照》、《食品生产许可证》、《产品质量检验报告》。</w:t>
            </w:r>
          </w:p>
          <w:p>
            <w:pPr>
              <w:pStyle w:val="null3"/>
              <w:jc w:val="left"/>
            </w:pPr>
            <w:r>
              <w:rPr>
                <w:rFonts w:ascii="仿宋_GB2312" w:hAnsi="仿宋_GB2312" w:cs="仿宋_GB2312" w:eastAsia="仿宋_GB2312"/>
              </w:rPr>
              <w:t>（6）交货时提供本批次《检验报告》合格报告单。</w:t>
            </w:r>
          </w:p>
          <w:p>
            <w:pPr>
              <w:pStyle w:val="null3"/>
              <w:jc w:val="left"/>
            </w:pPr>
            <w:r>
              <w:rPr>
                <w:rFonts w:ascii="仿宋_GB2312" w:hAnsi="仿宋_GB2312" w:cs="仿宋_GB2312" w:eastAsia="仿宋_GB2312"/>
              </w:rPr>
              <w:t>（7）首次配送时，应向甲方提供所有参与配送人员有效健康证；更换人员时需另附有效健康证。</w:t>
            </w:r>
          </w:p>
          <w:p>
            <w:pPr>
              <w:pStyle w:val="null3"/>
              <w:jc w:val="both"/>
            </w:pPr>
            <w:r>
              <w:rPr>
                <w:rFonts w:ascii="仿宋_GB2312" w:hAnsi="仿宋_GB2312" w:cs="仿宋_GB2312" w:eastAsia="仿宋_GB2312"/>
              </w:rPr>
              <w:t>（8）出现新疫情时，按照国家相关规定执行。</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退换货要求：</w:t>
            </w:r>
          </w:p>
          <w:p>
            <w:pPr>
              <w:pStyle w:val="null3"/>
              <w:jc w:val="both"/>
            </w:pPr>
            <w:r>
              <w:rPr>
                <w:rFonts w:ascii="仿宋_GB2312" w:hAnsi="仿宋_GB2312" w:cs="仿宋_GB2312" w:eastAsia="仿宋_GB2312"/>
              </w:rPr>
              <w:t>对短斤少两、外包装破损、污损的产品应立即告知供应商配送人员，安排退换。对不符合采购要求的产品，由甲方提出清退，并更换为符合采购要求的产品。</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样品</w:t>
            </w:r>
          </w:p>
          <w:p>
            <w:pPr>
              <w:pStyle w:val="null3"/>
              <w:jc w:val="left"/>
            </w:pPr>
            <w:r>
              <w:rPr>
                <w:rFonts w:ascii="仿宋_GB2312" w:hAnsi="仿宋_GB2312" w:cs="仿宋_GB2312" w:eastAsia="仿宋_GB2312"/>
              </w:rPr>
              <w:t>（一）数量</w:t>
            </w:r>
          </w:p>
          <w:p>
            <w:pPr>
              <w:pStyle w:val="null3"/>
              <w:jc w:val="left"/>
            </w:pPr>
            <w:r>
              <w:rPr>
                <w:rFonts w:ascii="仿宋_GB2312" w:hAnsi="仿宋_GB2312" w:cs="仿宋_GB2312" w:eastAsia="仿宋_GB2312"/>
              </w:rPr>
              <w:t>1、大米：1袋，独立包装，25kg/袋，执行国家（GB/T 1354-2018）质量标准；</w:t>
            </w:r>
          </w:p>
          <w:p>
            <w:pPr>
              <w:pStyle w:val="null3"/>
              <w:jc w:val="left"/>
            </w:pPr>
            <w:r>
              <w:rPr>
                <w:rFonts w:ascii="仿宋_GB2312" w:hAnsi="仿宋_GB2312" w:cs="仿宋_GB2312" w:eastAsia="仿宋_GB2312"/>
              </w:rPr>
              <w:t>2、馒头粉（精制粉）：1袋，独立包装，25kg/袋，执行国家（GB/T 1355-2021）质量标准；</w:t>
            </w:r>
          </w:p>
          <w:p>
            <w:pPr>
              <w:pStyle w:val="null3"/>
              <w:jc w:val="left"/>
            </w:pPr>
            <w:r>
              <w:rPr>
                <w:rFonts w:ascii="仿宋_GB2312" w:hAnsi="仿宋_GB2312" w:cs="仿宋_GB2312" w:eastAsia="仿宋_GB2312"/>
              </w:rPr>
              <w:t>3、面条粉（高筋小麦粉）：1袋，独立包装，25kg/袋，执行国家（GB/T 8607-1988）标准；</w:t>
            </w:r>
          </w:p>
          <w:p>
            <w:pPr>
              <w:pStyle w:val="null3"/>
              <w:jc w:val="left"/>
            </w:pPr>
            <w:r>
              <w:rPr>
                <w:rFonts w:ascii="仿宋_GB2312" w:hAnsi="仿宋_GB2312" w:cs="仿宋_GB2312" w:eastAsia="仿宋_GB2312"/>
              </w:rPr>
              <w:t>4、大豆油（一级，非转基因）：1桶，独立包装，5L/桶，执行国家（GB/T 1535-2017）质量标准；</w:t>
            </w:r>
          </w:p>
          <w:p>
            <w:pPr>
              <w:pStyle w:val="null3"/>
              <w:jc w:val="left"/>
            </w:pPr>
            <w:r>
              <w:rPr>
                <w:rFonts w:ascii="仿宋_GB2312" w:hAnsi="仿宋_GB2312" w:cs="仿宋_GB2312" w:eastAsia="仿宋_GB2312"/>
              </w:rPr>
              <w:t>5、菜籽油（二级及以上，非转基因）：1桶，独立包装，5L/桶，执行国家（GB/T 1536-2021）标准。</w:t>
            </w:r>
          </w:p>
          <w:p>
            <w:pPr>
              <w:pStyle w:val="null3"/>
              <w:jc w:val="left"/>
            </w:pPr>
            <w:r>
              <w:rPr>
                <w:rFonts w:ascii="仿宋_GB2312" w:hAnsi="仿宋_GB2312" w:cs="仿宋_GB2312" w:eastAsia="仿宋_GB2312"/>
              </w:rPr>
              <w:t>（二）包装：大米面粉符合《粮食销售包装》（GB/T17109）的要求，食用油符合GB7718\GB28050要求。</w:t>
            </w:r>
          </w:p>
          <w:p>
            <w:pPr>
              <w:pStyle w:val="null3"/>
              <w:jc w:val="left"/>
            </w:pPr>
            <w:r>
              <w:rPr>
                <w:rFonts w:ascii="仿宋_GB2312" w:hAnsi="仿宋_GB2312" w:cs="仿宋_GB2312" w:eastAsia="仿宋_GB2312"/>
              </w:rPr>
              <w:t>（三）密封、递交及退还</w:t>
            </w:r>
          </w:p>
          <w:p>
            <w:pPr>
              <w:pStyle w:val="null3"/>
              <w:jc w:val="left"/>
            </w:pPr>
            <w:r>
              <w:rPr>
                <w:rFonts w:ascii="仿宋_GB2312" w:hAnsi="仿宋_GB2312" w:cs="仿宋_GB2312" w:eastAsia="仿宋_GB2312"/>
              </w:rPr>
              <w:t>1.样品密封提交，包装外标注供应商名称及物品名称。</w:t>
            </w:r>
          </w:p>
          <w:p>
            <w:pPr>
              <w:pStyle w:val="null3"/>
              <w:jc w:val="left"/>
            </w:pPr>
            <w:r>
              <w:rPr>
                <w:rFonts w:ascii="仿宋_GB2312" w:hAnsi="仿宋_GB2312" w:cs="仿宋_GB2312" w:eastAsia="仿宋_GB2312"/>
              </w:rPr>
              <w:t>2.后期配送所供货品等必须和投标产品（样品）一致，不得更改。</w:t>
            </w:r>
          </w:p>
          <w:p>
            <w:pPr>
              <w:pStyle w:val="null3"/>
              <w:jc w:val="left"/>
            </w:pPr>
            <w:r>
              <w:rPr>
                <w:rFonts w:ascii="仿宋_GB2312" w:hAnsi="仿宋_GB2312" w:cs="仿宋_GB2312" w:eastAsia="仿宋_GB2312"/>
              </w:rPr>
              <w:t>3.递交：样品的检验报告随样品一起递交。</w:t>
            </w:r>
          </w:p>
          <w:p>
            <w:pPr>
              <w:pStyle w:val="null3"/>
              <w:jc w:val="both"/>
            </w:pPr>
            <w:r>
              <w:rPr>
                <w:rFonts w:ascii="仿宋_GB2312" w:hAnsi="仿宋_GB2312" w:cs="仿宋_GB2312" w:eastAsia="仿宋_GB2312"/>
              </w:rPr>
              <w:t>4.样品的退还办法：中标人的样品由采购人封存保管，作为交货时的验收依据；其余未中标人的样品，在中标公告发出后由代理机构通知7日内自行取回，过期未取视为由代理机构自行处理，后期不得有任何异议。</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采购人提前两天向供应商申报供货计划，供应商在接到采购人通知后1天内配送到位。（特殊情况下，职工食堂需要的小批量的急用物资，供货方应予以1个小时内解决。）</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指定库房，并按照采购人要求在指定地点摆放整齐。</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付款条件说明：采购人根据实际用量、验收单，采用转帐的形式结算，投标人需于次月5日前提供货款金额符合税法规定的正规发票，支付上月的费用（节假日顺延）</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（1）定型包装食品，检验包装标识是否标出品名、产地、厂名、生产日期、批号或者代号、规格、配方或者主要成份、保质期限、食用或者使用方法等，防止购进假冒伪劣产品，禁止“三无”产品进入食堂； （2）主要食材中的定型包装食品，如米面油类，供应商需要提供三证，即生产厂家的卫生许可证（若非从厂家直接采购的还需同时提供供货单位的卫生许可证）复印件；批次产品卫生主管部门检验报告；送货人员的健康证明； （3）包装污秽不洁、严重破损、运输工具不洁等造成污染的产品不予验收入库； （4）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5）食堂采购员、库管员和值班厨师共同对所购食品原辅料的质量、数量进行核对验收，验收合格的及时入库，并在《原料购进验收单》上签字确认。不合格产品应及时退回供应商，同时做好验收记录。食堂厨师长不定时抽查。 （6）入库时，保管员要清点入库物品的数量、规格，做到数量、规格、品种准确无误，入库时按不同的材质、规格、功能和要求，分类、分别储存，做到账物相符。 （7）产品供应渠道正常、稳定且质量有保证，检验手续合法有效，具备完善的管理制度流程，确保食品安全，需提供检验报告等证明材料。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1.所供食材到货时的保质期期限不少于标注保质期三分之二； 2.不合格产品立即更换。</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①按《中华人民共和国民法典》中的相关条款执行。②乙方未按合同要求提供货物或货物质量不能满足国家标准，甲方有权单方解除合同，乙方应按照合同总金额的20%向甲方支付违约金。③如有纠纷，双方友好协商解决，协商不成时可诉讼到甲方所在地人民法院解决。 解决争议的方法①合同一经签订，不得随意变更、中止或终止。对确需变更、调整或者中止、终止合同的，应按规定履行相应的手续。②凡与本合同有关而引起的一切争议，采购人与中标人双方应首先通过友好协商解决，如经协商后仍不能达成协议时，任何一方可以向采购人所在地法院提出诉讼。③本合同的诉讼管辖地采购人所在地的法院。④在进行法院审理期间，除提交法院审理的事项外，合同其他部分仍应继续履行。⑤本合同按照中华人民共和国的法律进行解释。</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1.本项目招标文件第三章 招标项目技术、服务、商务及其它要求中3.4商务要求中的“3.4.3支付方式：一次性付清”为系统固定描述内容，具体付款方式以下列内容为准：采购人根据实际用量、验收单，采用银行转账的形式结算，中标人需于次月5日前提供货款金额符合税法规定的正规发票，达到付款条件后30日内支付上月的费用（节假日顺延）。 2.为顺利推进政府采购电子化交易平台应用工作，投标人需要在线提交所有通过电子化交易平台实施的政府采购项目的投标文件，同时，线下提交投标文件正本壹份、电子版壹份（U盘一份标明投标人名称，随正本密封）。若电子投标文件与纸质投标文件不一致的，以电子投标文件为准；线下递交文件时间：详见本项目招标公告文件截止时间；线下递交文件地点：西安市莲湖区二环南路西段202号九座花园16层1605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2、提供2023 或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 3、提供提交投标文件截止时间前一年内任意一个月的依法缴纳税收的完税证明，完税证明应有税务机关或代收机关的公章或业务专用章。依法免税或无须缴纳税收的供应商，应提供相应证明文件。 4、提供投标截止日前一年内已缴存的至少一个月的社会保障资金缴存单据或社保机构开具的社会保险参保缴费情况证明，依法不需要缴纳社会保障资金的单位应提供相关证明材料。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 或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供应商为制造商的须提供《食品生产许可证》；供应商为经销商的须提供本单位的《食品经营许可证》或在市场监督管理部门备案（以营业执照经营范围为准）。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供应商未被“信用中国”网站(https://www.creditchina.gov.cn/) 列入失信被执行人和重大税收违法失信主体，未被中国政府采购网(http://www.ccgp.gov.cn/) 列入政府采购严重违法失信行为记录名单。(采购代理机构于本项目招标公告发布后至开标当日查询相关信用记录，对列入失信被执行人、重大税收违法失信主体、政府采购严重违法失信行为记录名单及其他不符合《中华人民共和国政府采购法》第二十二条规定的供 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与营业执照一致、资质证书一致</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按照招标文件规定要求签署、盖章</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备选投标方案</w:t>
            </w:r>
          </w:p>
        </w:tc>
        <w:tc>
          <w:tcPr>
            <w:tcW w:type="dxa" w:w="3322"/>
          </w:tcPr>
          <w:p>
            <w:pPr>
              <w:pStyle w:val="null3"/>
            </w:pPr>
            <w:r>
              <w:rPr>
                <w:rFonts w:ascii="仿宋_GB2312" w:hAnsi="仿宋_GB2312" w:cs="仿宋_GB2312" w:eastAsia="仿宋_GB2312"/>
              </w:rPr>
              <w:t>除招标文件明确允许提交备选投标方案外，投标人不得提交备选投标方案</w:t>
            </w:r>
          </w:p>
        </w:tc>
        <w:tc>
          <w:tcPr>
            <w:tcW w:type="dxa" w:w="1661"/>
          </w:tcPr>
          <w:p>
            <w:pPr>
              <w:pStyle w:val="null3"/>
            </w:pPr>
            <w:r>
              <w:rPr>
                <w:rFonts w:ascii="仿宋_GB2312" w:hAnsi="仿宋_GB2312" w:cs="仿宋_GB2312" w:eastAsia="仿宋_GB2312"/>
              </w:rPr>
              <w:t>开标一览表.docx 开标一览表 中小企业声明函 资格证明文件.docx 供应商承诺书.docx 投标方案说明书.docx 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符合第二章“投标人须知”第2.4.7项规定</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交货时间、质保期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符合第二章“投标人须知”第2.1投标人须知前附表、12条</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应满足招标文件中的要求（详见：供应商承诺书）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不同供应商的投标文件是否由同一单位或者个人编制</w:t>
            </w:r>
          </w:p>
        </w:tc>
        <w:tc>
          <w:tcPr>
            <w:tcW w:type="dxa" w:w="3322"/>
          </w:tcPr>
          <w:p>
            <w:pPr>
              <w:pStyle w:val="null3"/>
            </w:pPr>
            <w:r>
              <w:rPr>
                <w:rFonts w:ascii="仿宋_GB2312" w:hAnsi="仿宋_GB2312" w:cs="仿宋_GB2312" w:eastAsia="仿宋_GB2312"/>
              </w:rPr>
              <w:t>不同供应商的投标文件是否由同一单位或者个人编制</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不同供应商是否委托同一单位或者个人办理投标事宜</w:t>
            </w:r>
          </w:p>
        </w:tc>
        <w:tc>
          <w:tcPr>
            <w:tcW w:type="dxa" w:w="3322"/>
          </w:tcPr>
          <w:p>
            <w:pPr>
              <w:pStyle w:val="null3"/>
            </w:pPr>
            <w:r>
              <w:rPr>
                <w:rFonts w:ascii="仿宋_GB2312" w:hAnsi="仿宋_GB2312" w:cs="仿宋_GB2312" w:eastAsia="仿宋_GB2312"/>
              </w:rPr>
              <w:t>不同供应商是否委托同一单位或者个人办理投标事宜</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不同供应商的投标文件载明的项目管理成员或者联系人员是否为同一人</w:t>
            </w:r>
          </w:p>
        </w:tc>
        <w:tc>
          <w:tcPr>
            <w:tcW w:type="dxa" w:w="3322"/>
          </w:tcPr>
          <w:p>
            <w:pPr>
              <w:pStyle w:val="null3"/>
            </w:pPr>
            <w:r>
              <w:rPr>
                <w:rFonts w:ascii="仿宋_GB2312" w:hAnsi="仿宋_GB2312" w:cs="仿宋_GB2312" w:eastAsia="仿宋_GB2312"/>
              </w:rPr>
              <w:t>不同供应商的投标文件载明的项目管理成员或者联系人员是否为同一人</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不同供应商的投标文件是否异常一致或者投标报价呈规律性差异</w:t>
            </w:r>
          </w:p>
        </w:tc>
        <w:tc>
          <w:tcPr>
            <w:tcW w:type="dxa" w:w="3322"/>
          </w:tcPr>
          <w:p>
            <w:pPr>
              <w:pStyle w:val="null3"/>
            </w:pPr>
            <w:r>
              <w:rPr>
                <w:rFonts w:ascii="仿宋_GB2312" w:hAnsi="仿宋_GB2312" w:cs="仿宋_GB2312" w:eastAsia="仿宋_GB2312"/>
              </w:rPr>
              <w:t>不同供应商的投标文件是否异常一致或者投标报价呈规律性差异</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15</w:t>
            </w:r>
          </w:p>
        </w:tc>
        <w:tc>
          <w:tcPr>
            <w:tcW w:type="dxa" w:w="2492"/>
          </w:tcPr>
          <w:p>
            <w:pPr>
              <w:pStyle w:val="null3"/>
            </w:pPr>
            <w:r>
              <w:rPr>
                <w:rFonts w:ascii="仿宋_GB2312" w:hAnsi="仿宋_GB2312" w:cs="仿宋_GB2312" w:eastAsia="仿宋_GB2312"/>
              </w:rPr>
              <w:t>不同供应商的投标文件是否相互混装</w:t>
            </w:r>
          </w:p>
        </w:tc>
        <w:tc>
          <w:tcPr>
            <w:tcW w:type="dxa" w:w="3322"/>
          </w:tcPr>
          <w:p>
            <w:pPr>
              <w:pStyle w:val="null3"/>
            </w:pPr>
            <w:r>
              <w:rPr>
                <w:rFonts w:ascii="仿宋_GB2312" w:hAnsi="仿宋_GB2312" w:cs="仿宋_GB2312" w:eastAsia="仿宋_GB2312"/>
              </w:rPr>
              <w:t>不同供应商的投标文件是否相互混装</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16</w:t>
            </w:r>
          </w:p>
        </w:tc>
        <w:tc>
          <w:tcPr>
            <w:tcW w:type="dxa" w:w="2492"/>
          </w:tcPr>
          <w:p>
            <w:pPr>
              <w:pStyle w:val="null3"/>
            </w:pPr>
            <w:r>
              <w:rPr>
                <w:rFonts w:ascii="仿宋_GB2312" w:hAnsi="仿宋_GB2312" w:cs="仿宋_GB2312" w:eastAsia="仿宋_GB2312"/>
              </w:rPr>
              <w:t>不同供应商的投标保证金是否从同一单位或者个人的账户转出</w:t>
            </w:r>
          </w:p>
        </w:tc>
        <w:tc>
          <w:tcPr>
            <w:tcW w:type="dxa" w:w="3322"/>
          </w:tcPr>
          <w:p>
            <w:pPr>
              <w:pStyle w:val="null3"/>
            </w:pPr>
            <w:r>
              <w:rPr>
                <w:rFonts w:ascii="仿宋_GB2312" w:hAnsi="仿宋_GB2312" w:cs="仿宋_GB2312" w:eastAsia="仿宋_GB2312"/>
              </w:rPr>
              <w:t>不同供应商的投标保证金是否从同一单位或者个人的账户转出</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17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1.企业具备独立的符合国家标准的仓储场地。提供证明材料得3分，未提供不得分。 备注：证明材料包括但不限于场地产权证明或租赁协议复印件。 2.运输车辆配备情况，包括但不限于车辆类型、数量、用途、配置说明、保温保鲜条件、使用年限、车况等，提供车辆证明材料得3分，未提供不得分。 备注：证明文件包括但不限于购车发票、机动车登记证书、车辆行驶证或租赁合同等。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根据本项目的实际需求指定项目管理制度，包含①组织架构②规章制度③职责分工④监督机制等。 以上４项内容完整、不存在瑕疵，得8分；每缺一项扣2分，存在瑕疵的一项扣1分，扣完为止。 （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产品供应渠道正规、稳定，提供产品来源渠道证明（不限于销售协议/代理协议/购销合同/购货发票等）。证明材料齐全得６分，缺少2个以内得3分，缺少2-4个得1分，缺少4个以上不得分。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要求产品的配送、组织措施完善，并针对本项目特点提出①食品配送方案及配送计划、②配送路线、③配送人员、④车辆调配方案，能确保按时按量按质完成配送工作。 以上４项内容完整、不存在瑕疵，得8分；每缺一项扣2分，存在瑕疵的一项扣1分，扣完为止。 （本项所指“瑕疵”是指内容不完整或缺少关键点；非专门针对本项目或不适用本项目特性、套用其他项目内容；存在逻辑漏洞、科学原理或常识错误；不利于本项目实施、现有技术条件下无法实现等任意一种情形） 备注：证明文件包括但不限于司机驾驶证、配送人员健康证等。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针对本项目可能出现的问题及突发事件，有具体可行的应急措施和解决方案，内容包括但不限于①特殊紧急情况下保证日常供给②需要加急配送③出现质量问题能及时更换等 以上3项内容完整、不存在瑕疵，得6分；每缺一项扣2分，存在瑕疵的一项扣1分，扣完为止。 （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开标现场提供招标文件要求提供的样品，根据所提供样品的包装、色泽、气味、饱满度及样品的检验报告等进行综合评定得分，每个样品得[0-3]分，共得15分，未提供样品或不全的计0分。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质控措施及质保承诺</w:t>
            </w:r>
          </w:p>
        </w:tc>
        <w:tc>
          <w:tcPr>
            <w:tcW w:type="dxa" w:w="2492"/>
          </w:tcPr>
          <w:p>
            <w:pPr>
              <w:pStyle w:val="null3"/>
            </w:pPr>
            <w:r>
              <w:rPr>
                <w:rFonts w:ascii="仿宋_GB2312" w:hAnsi="仿宋_GB2312" w:cs="仿宋_GB2312" w:eastAsia="仿宋_GB2312"/>
              </w:rPr>
              <w:t>提供合理完善的质量控制措施及承诺，要求措施严谨、实施性强，能够确保服务质量符合招标人要求得3分，不符合要求或未提供不得分。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提供承诺所投产品的生产日期为最新生产，符合国家食品标准，提供正常工作时间内随时响应的服务热线，产品使用中出现问题，应在30分钟内响应，60分钟内到达现场，12小时解决问题，如不能解决，应提供采购人可以接受的解决方案，并承诺因产品质量或配送造成一切安全问题和后果承担全部责任，承诺内容齐全得３分，不齐全或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满意度</w:t>
            </w:r>
          </w:p>
        </w:tc>
        <w:tc>
          <w:tcPr>
            <w:tcW w:type="dxa" w:w="2492"/>
          </w:tcPr>
          <w:p>
            <w:pPr>
              <w:pStyle w:val="null3"/>
            </w:pPr>
            <w:r>
              <w:rPr>
                <w:rFonts w:ascii="仿宋_GB2312" w:hAnsi="仿宋_GB2312" w:cs="仿宋_GB2312" w:eastAsia="仿宋_GB2312"/>
              </w:rPr>
              <w:t>提供供应商近三年（2022年1月1日至今）类似项目业绩用户满意度调查表，每提供一个“满意及以上或合格及以上或良好及以上”有效满意度调查表得1分，本项最高计5分。 备注：以满意度复印件加盖供应商公章为准，原件备查，弄虚作假者，取消其中标资格；提供满意度的同时须提供对应的项目合同（可与“项目业绩”合同重复）。</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提供供应商2022年1月1日至今(以合同签订时间为准)同类项目业绩，每提供一份有效业绩证明材料，得1分，满分共5分。（注：业绩证明材料以投标文件中所附的合同复印件加盖公章为准。）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对符合政策性扣减的有效投标报价进行政策性扣减，并依据扣减后的价格（评审价格）进行价格评审。2、价格分统一采用低价优先法计算，即满足招标文件要求且投标价格最低的投标报价为评标基准价，其价格分为满分。3、其他投标人的价格分统一按照下列公式计算： 投标报价得分=(评标基准价／投标报价)×35；4、计算分数时四舍五入取小数点后两位。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