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版本号：DZDL-2025-025Z20250702001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2025-2026学年度行政通勤班车租赁服务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DZDL-2025-025Z</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2025-2026学年度行政通勤班车租赁服务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DZDL-2025-025Z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2025-2026学年度行政通勤班车租赁服务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2025-2026学年度行政通勤班车租赁服务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采购包1（2025-2026学年度行政通勤班车租赁服务）：属于专门面向中小企业采购。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1、法定代表人授权委托书：法定代表人参加磋商的，须出示身份证；法定代表人授权他人参加磋商的，须提供法定代表人授权委托书、被授权人身份证及被授权人近半年任意一个月的社保缴纳证明；</w:t>
      </w:r>
    </w:p>
    <w:p>
      <w:pPr>
        <w:pStyle w:val="null3"/>
      </w:pPr>
      <w:r>
        <w:rPr>
          <w:rFonts w:ascii="仿宋_GB2312" w:hAnsi="仿宋_GB2312" w:cs="仿宋_GB2312" w:eastAsia="仿宋_GB2312"/>
        </w:rPr>
        <w:t>2、特殊资格：提供交通管理部门核发有效的《道路运输经营许可证》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18792630816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开户名称：鼎正众创建设集团有限公司</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银行账号：61001925700052502502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说明：在签订合同前，中标人应按投标人须知前附表规定的形式、金额和“合同条款及格式”规定的或者事先经过招标人书面认可的履约保证金或履约担保格式向招标人提交履约保证金或履约担保。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代理服务费用收取对象：成交供应商 代理服务费收费标准：成交供应商应向采购代理机构交纳招标代理服务费。采购代理服务费参照国家计委颁布的《招标代理服务收费管理暂行办法》（计价格[2002]1980 号）号文件收费标准的90%收取。预算金额30万元（含）及以下项目按标准收取，招标代理服务费在领取成交通知书时一次性交纳。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联系电话：18792630816</w:t>
      </w:r>
    </w:p>
    <w:p>
      <w:pPr>
        <w:pStyle w:val="null3"/>
      </w:pPr>
      <w:r>
        <w:rPr>
          <w:rFonts w:ascii="仿宋_GB2312" w:hAnsi="仿宋_GB2312" w:cs="仿宋_GB2312" w:eastAsia="仿宋_GB2312"/>
        </w:rPr>
        <w:t>地址：西安市科技路48号创业广场B座1506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西安石油大学2025-2026学年度行政通勤班车租赁服务1项，具体内容详见采购需求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西安石油大学2025-2026学年度行政通勤班车租赁服务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标的名称：西安石油大学2025-2026学年度行政通勤班车租赁服务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（一）校区间运行线路</w:t>
            </w:r>
          </w:p>
          <w:p>
            <w:pPr>
              <w:pStyle w:val="null3"/>
            </w:pPr>
            <w:r>
              <w:rPr>
                <w:rFonts w:ascii="仿宋_GB2312" w:hAnsi="仿宋_GB2312" w:cs="仿宋_GB2312" w:eastAsia="仿宋_GB2312"/>
              </w:rPr>
              <w:t>西安石油大学（雁塔校区）</w:t>
            </w:r>
            <w:r>
              <w:rPr>
                <w:rFonts w:ascii="仿宋_GB2312" w:hAnsi="仿宋_GB2312" w:cs="仿宋_GB2312" w:eastAsia="仿宋_GB2312"/>
              </w:rPr>
              <w:t>⇄ 含光南路 ⇄ 雁南二路 ⇄ 科技八路 ⇄ 河池寨收费站上西汉高速 ⇄ 鄠邑收费站下高速 ⇄ 西安石油大学鄠邑校区</w:t>
            </w:r>
          </w:p>
          <w:p>
            <w:pPr>
              <w:pStyle w:val="null3"/>
            </w:pPr>
            <w:r>
              <w:rPr>
                <w:rFonts w:ascii="仿宋_GB2312" w:hAnsi="仿宋_GB2312" w:cs="仿宋_GB2312" w:eastAsia="仿宋_GB2312"/>
              </w:rPr>
              <w:t>计划将上述线路作为本次采购主要内容。</w:t>
            </w:r>
          </w:p>
          <w:p>
            <w:pPr>
              <w:pStyle w:val="null3"/>
            </w:pPr>
            <w:r>
              <w:rPr>
                <w:rFonts w:ascii="仿宋_GB2312" w:hAnsi="仿宋_GB2312" w:cs="仿宋_GB2312" w:eastAsia="仿宋_GB2312"/>
              </w:rPr>
              <w:t>（二）用车需求</w:t>
            </w:r>
          </w:p>
          <w:tbl>
            <w:tblPr>
              <w:tblInd w:type="dxa" w:w="105"/>
              <w:tblBorders>
                <w:top w:val="none" w:color="000000" w:sz="4"/>
                <w:left w:val="none" w:color="000000" w:sz="4"/>
                <w:bottom w:val="none" w:color="000000" w:sz="4"/>
                <w:right w:val="none" w:color="000000" w:sz="4"/>
                <w:insideH w:val="none"/>
                <w:insideV w:val="none"/>
              </w:tblBorders>
            </w:tblPr>
            <w:tblGrid>
              <w:gridCol w:w="1274"/>
              <w:gridCol w:w="637"/>
              <w:gridCol w:w="637"/>
            </w:tblGrid>
            <w:tr>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车辆用途</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车型要求</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往返数</w:t>
                  </w:r>
                </w:p>
              </w:tc>
            </w:tr>
            <w:tr>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行政通勤用车</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47</w:t>
                  </w:r>
                  <w:r>
                    <w:rPr>
                      <w:rFonts w:ascii="仿宋_GB2312" w:hAnsi="仿宋_GB2312" w:cs="仿宋_GB2312" w:eastAsia="仿宋_GB2312"/>
                      <w:sz w:val="19"/>
                    </w:rPr>
                    <w:t>座以上（含</w:t>
                  </w:r>
                  <w:r>
                    <w:rPr>
                      <w:rFonts w:ascii="仿宋_GB2312" w:hAnsi="仿宋_GB2312" w:cs="仿宋_GB2312" w:eastAsia="仿宋_GB2312"/>
                      <w:sz w:val="19"/>
                    </w:rPr>
                    <w:t>47</w:t>
                  </w:r>
                  <w:r>
                    <w:rPr>
                      <w:rFonts w:ascii="仿宋_GB2312" w:hAnsi="仿宋_GB2312" w:cs="仿宋_GB2312" w:eastAsia="仿宋_GB2312"/>
                      <w:sz w:val="19"/>
                    </w:rPr>
                    <w:t>座）</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00</w:t>
                  </w:r>
                </w:p>
              </w:tc>
            </w:tr>
            <w:tr>
              <w:tc>
                <w:tcPr>
                  <w:tcW w:type="dxa" w:w="1274"/>
                  <w:vMerge/>
                  <w:tcBorders>
                    <w:top w:val="none" w:color="000000" w:sz="4"/>
                    <w:left w:val="single" w:color="000000" w:sz="4"/>
                    <w:bottom w:val="single" w:color="000000" w:sz="4"/>
                    <w:right w:val="single" w:color="000000" w:sz="4"/>
                  </w:tcBorders>
                </w:tcP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r>
                    <w:rPr>
                      <w:rFonts w:ascii="仿宋_GB2312" w:hAnsi="仿宋_GB2312" w:cs="仿宋_GB2312" w:eastAsia="仿宋_GB2312"/>
                      <w:sz w:val="19"/>
                    </w:rPr>
                    <w:t>座以上（含</w:t>
                  </w:r>
                  <w:r>
                    <w:rPr>
                      <w:rFonts w:ascii="仿宋_GB2312" w:hAnsi="仿宋_GB2312" w:cs="仿宋_GB2312" w:eastAsia="仿宋_GB2312"/>
                      <w:sz w:val="19"/>
                    </w:rPr>
                    <w:t>14</w:t>
                  </w:r>
                  <w:r>
                    <w:rPr>
                      <w:rFonts w:ascii="仿宋_GB2312" w:hAnsi="仿宋_GB2312" w:cs="仿宋_GB2312" w:eastAsia="仿宋_GB2312"/>
                      <w:sz w:val="19"/>
                    </w:rPr>
                    <w:t>座）</w:t>
                  </w:r>
                  <w:r>
                    <w:rPr>
                      <w:rFonts w:ascii="仿宋_GB2312" w:hAnsi="仿宋_GB2312" w:cs="仿宋_GB2312" w:eastAsia="仿宋_GB2312"/>
                      <w:sz w:val="19"/>
                    </w:rPr>
                    <w:t>22</w:t>
                  </w:r>
                  <w:r>
                    <w:rPr>
                      <w:rFonts w:ascii="仿宋_GB2312" w:hAnsi="仿宋_GB2312" w:cs="仿宋_GB2312" w:eastAsia="仿宋_GB2312"/>
                      <w:sz w:val="19"/>
                    </w:rPr>
                    <w:t>座以下（含</w:t>
                  </w:r>
                  <w:r>
                    <w:rPr>
                      <w:rFonts w:ascii="仿宋_GB2312" w:hAnsi="仿宋_GB2312" w:cs="仿宋_GB2312" w:eastAsia="仿宋_GB2312"/>
                      <w:sz w:val="19"/>
                    </w:rPr>
                    <w:t>22</w:t>
                  </w:r>
                  <w:r>
                    <w:rPr>
                      <w:rFonts w:ascii="仿宋_GB2312" w:hAnsi="仿宋_GB2312" w:cs="仿宋_GB2312" w:eastAsia="仿宋_GB2312"/>
                      <w:sz w:val="19"/>
                    </w:rPr>
                    <w:t>座）</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r>
                    <w:rPr>
                      <w:rFonts w:ascii="仿宋_GB2312" w:hAnsi="仿宋_GB2312" w:cs="仿宋_GB2312" w:eastAsia="仿宋_GB2312"/>
                      <w:sz w:val="19"/>
                    </w:rPr>
                    <w:t>50</w:t>
                  </w:r>
                </w:p>
              </w:tc>
            </w:tr>
          </w:tbl>
          <w:p>
            <w:pPr>
              <w:pStyle w:val="null3"/>
            </w:pPr>
            <w:r>
              <w:rPr>
                <w:rFonts w:ascii="仿宋_GB2312" w:hAnsi="仿宋_GB2312" w:cs="仿宋_GB2312" w:eastAsia="仿宋_GB2312"/>
              </w:rPr>
              <w:t>（三）通勤班车运行时刻</w:t>
            </w:r>
          </w:p>
          <w:tbl>
            <w:tblPr>
              <w:tblInd w:type="dxa" w:w="105"/>
              <w:tblBorders>
                <w:top w:val="none" w:color="000000" w:sz="4"/>
                <w:left w:val="none" w:color="000000" w:sz="4"/>
                <w:bottom w:val="none" w:color="000000" w:sz="4"/>
                <w:right w:val="none" w:color="000000" w:sz="4"/>
                <w:insideH w:val="none"/>
                <w:insideV w:val="none"/>
              </w:tblBorders>
            </w:tblPr>
            <w:tblGrid>
              <w:gridCol w:w="628"/>
              <w:gridCol w:w="629"/>
              <w:gridCol w:w="628"/>
              <w:gridCol w:w="664"/>
            </w:tblGrid>
            <w:tr>
              <w:tc>
                <w:tcPr>
                  <w:tcW w:type="dxa" w:w="125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车辆用途</w:t>
                  </w:r>
                </w:p>
              </w:tc>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运行路线</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发车时间</w:t>
                  </w:r>
                </w:p>
              </w:tc>
            </w:tr>
            <w:tr>
              <w:tc>
                <w:tcPr>
                  <w:tcW w:type="dxa" w:w="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行政通勤班车</w:t>
                  </w:r>
                </w:p>
              </w:tc>
              <w:tc>
                <w:tcPr>
                  <w:tcW w:type="dxa" w:w="6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工作日通勤班车</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雁塔校区发往鄠邑校区</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8:00</w:t>
                  </w:r>
                </w:p>
              </w:tc>
            </w:tr>
            <w:tr>
              <w:tc>
                <w:tcPr>
                  <w:tcW w:type="dxa" w:w="628"/>
                  <w:vMerge/>
                  <w:tcBorders>
                    <w:top w:val="none" w:color="000000" w:sz="4"/>
                    <w:left w:val="single" w:color="000000" w:sz="4"/>
                    <w:bottom w:val="single" w:color="000000" w:sz="4"/>
                    <w:right w:val="single" w:color="000000" w:sz="4"/>
                  </w:tcBorders>
                </w:tcPr>
                <w:p/>
              </w:tc>
              <w:tc>
                <w:tcPr>
                  <w:tcW w:type="dxa" w:w="629"/>
                  <w:vMerge/>
                  <w:tcBorders>
                    <w:top w:val="none" w:color="000000" w:sz="4"/>
                    <w:left w:val="single" w:color="000000" w:sz="4"/>
                    <w:bottom w:val="single" w:color="000000" w:sz="4"/>
                    <w:right w:val="single" w:color="000000" w:sz="4"/>
                  </w:tcBorders>
                </w:tc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鄠邑校区返回雁塔校区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17:00</w:t>
                  </w:r>
                </w:p>
              </w:tc>
            </w:tr>
            <w:tr>
              <w:tc>
                <w:tcPr>
                  <w:tcW w:type="dxa" w:w="628"/>
                  <w:vMerge/>
                  <w:tcBorders>
                    <w:top w:val="none" w:color="000000" w:sz="4"/>
                    <w:left w:val="single" w:color="000000" w:sz="4"/>
                    <w:bottom w:val="single" w:color="000000" w:sz="4"/>
                    <w:right w:val="single" w:color="000000" w:sz="4"/>
                  </w:tcBorders>
                </w:tcPr>
                <w:p/>
              </w:tc>
              <w:tc>
                <w:tcPr>
                  <w:tcW w:type="dxa" w:w="6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周末、节假日通勤班车</w:t>
                  </w: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雁塔校区发往鄠邑校区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8:00</w:t>
                  </w:r>
                </w:p>
              </w:tc>
            </w:tr>
            <w:tr>
              <w:tc>
                <w:tcPr>
                  <w:tcW w:type="dxa" w:w="628"/>
                  <w:vMerge/>
                  <w:tcBorders>
                    <w:top w:val="none" w:color="000000" w:sz="4"/>
                    <w:left w:val="single" w:color="000000" w:sz="4"/>
                    <w:bottom w:val="single" w:color="000000" w:sz="4"/>
                    <w:right w:val="single" w:color="000000" w:sz="4"/>
                  </w:tcBorders>
                </w:tcPr>
                <w:p/>
              </w:tc>
              <w:tc>
                <w:tcPr>
                  <w:tcW w:type="dxa" w:w="629"/>
                  <w:vMerge/>
                  <w:tcBorders>
                    <w:top w:val="none" w:color="000000" w:sz="4"/>
                    <w:left w:val="single" w:color="000000" w:sz="4"/>
                    <w:bottom w:val="single" w:color="000000" w:sz="4"/>
                    <w:right w:val="single" w:color="000000" w:sz="4"/>
                  </w:tcBorders>
                </w:tc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鄠邑校区返回雁塔校区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9:00</w:t>
                  </w:r>
                </w:p>
              </w:tc>
            </w:tr>
            <w:tr>
              <w:tc>
                <w:tcPr>
                  <w:tcW w:type="dxa" w:w="628"/>
                  <w:vMerge/>
                  <w:tcBorders>
                    <w:top w:val="none" w:color="000000" w:sz="4"/>
                    <w:left w:val="single" w:color="000000" w:sz="4"/>
                    <w:bottom w:val="single" w:color="000000" w:sz="4"/>
                    <w:right w:val="single" w:color="000000" w:sz="4"/>
                  </w:tcBorders>
                </w:tcPr>
                <w:p/>
              </w:tc>
              <w:tc>
                <w:tcPr>
                  <w:tcW w:type="dxa" w:w="629"/>
                  <w:vMerge/>
                  <w:tcBorders>
                    <w:top w:val="none" w:color="000000" w:sz="4"/>
                    <w:left w:val="single" w:color="000000" w:sz="4"/>
                    <w:bottom w:val="single" w:color="000000" w:sz="4"/>
                    <w:right w:val="single" w:color="000000" w:sz="4"/>
                  </w:tcBorders>
                </w:tc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雁塔校区发往鄠邑校区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16:00</w:t>
                  </w:r>
                </w:p>
              </w:tc>
            </w:tr>
            <w:tr>
              <w:tc>
                <w:tcPr>
                  <w:tcW w:type="dxa" w:w="628"/>
                  <w:vMerge/>
                  <w:tcBorders>
                    <w:top w:val="none" w:color="000000" w:sz="4"/>
                    <w:left w:val="single" w:color="000000" w:sz="4"/>
                    <w:bottom w:val="single" w:color="000000" w:sz="4"/>
                    <w:right w:val="single" w:color="000000" w:sz="4"/>
                  </w:tcBorders>
                </w:tcPr>
                <w:p/>
              </w:tc>
              <w:tc>
                <w:tcPr>
                  <w:tcW w:type="dxa" w:w="629"/>
                  <w:vMerge/>
                  <w:tcBorders>
                    <w:top w:val="none" w:color="000000" w:sz="4"/>
                    <w:left w:val="single" w:color="000000" w:sz="4"/>
                    <w:bottom w:val="single" w:color="000000" w:sz="4"/>
                    <w:right w:val="single" w:color="000000" w:sz="4"/>
                  </w:tcBorders>
                </w:tcPr>
                <w:p/>
              </w:tc>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鄠邑校区返回雁塔校区</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17:00</w:t>
                  </w:r>
                </w:p>
              </w:tc>
            </w:tr>
          </w:tbl>
          <w:p>
            <w:pPr>
              <w:pStyle w:val="null3"/>
            </w:pPr>
            <w:r>
              <w:rPr>
                <w:rFonts w:ascii="仿宋_GB2312" w:hAnsi="仿宋_GB2312" w:cs="仿宋_GB2312" w:eastAsia="仿宋_GB2312"/>
              </w:rPr>
              <w:t>说明：上表中发车时间为计划发车时间，具体时间以学校要求为准。</w:t>
            </w:r>
          </w:p>
          <w:p>
            <w:pPr>
              <w:pStyle w:val="null3"/>
            </w:pPr>
            <w:r>
              <w:rPr>
                <w:rFonts w:ascii="仿宋_GB2312" w:hAnsi="仿宋_GB2312" w:cs="仿宋_GB2312" w:eastAsia="仿宋_GB2312"/>
              </w:rPr>
              <w:t>（四）说明</w:t>
            </w:r>
          </w:p>
          <w:p>
            <w:pPr>
              <w:pStyle w:val="null3"/>
            </w:pPr>
            <w:r>
              <w:rPr>
                <w:rFonts w:ascii="仿宋_GB2312" w:hAnsi="仿宋_GB2312" w:cs="仿宋_GB2312" w:eastAsia="仿宋_GB2312"/>
              </w:rPr>
              <w:t xml:space="preserve">1. </w:t>
            </w:r>
            <w:r>
              <w:rPr>
                <w:rFonts w:ascii="仿宋_GB2312" w:hAnsi="仿宋_GB2312" w:cs="仿宋_GB2312" w:eastAsia="仿宋_GB2312"/>
              </w:rPr>
              <w:t>（一）中所述线路为常规线路；如因不可抗力（如：遇交通堵塞、高速封路、突发天气等特殊情况）导致该线路无法通行时，启用应急备用线路。</w:t>
            </w:r>
          </w:p>
          <w:p>
            <w:pPr>
              <w:pStyle w:val="null3"/>
            </w:pPr>
            <w:r>
              <w:rPr>
                <w:rFonts w:ascii="仿宋_GB2312" w:hAnsi="仿宋_GB2312" w:cs="仿宋_GB2312" w:eastAsia="仿宋_GB2312"/>
              </w:rPr>
              <w:t>应急备用路线为：西安石油大学（雁塔校区）</w:t>
            </w:r>
            <w:r>
              <w:rPr>
                <w:rFonts w:ascii="仿宋_GB2312" w:hAnsi="仿宋_GB2312" w:cs="仿宋_GB2312" w:eastAsia="仿宋_GB2312"/>
              </w:rPr>
              <w:t>⇄ 含光南路 ⇄ 雁南二路 ⇄ 东仪路 ⇄ 南三环 ⇄ 子午大道 ⇄ 子午西互通上外环高速至秦渡收费站出高速 ⇄ 终南大道 ⇄ 西安石油大学鄠邑校区</w:t>
            </w:r>
          </w:p>
          <w:p>
            <w:pPr>
              <w:pStyle w:val="null3"/>
            </w:pPr>
            <w:r>
              <w:rPr>
                <w:rFonts w:ascii="仿宋_GB2312" w:hAnsi="仿宋_GB2312" w:cs="仿宋_GB2312" w:eastAsia="仿宋_GB2312"/>
              </w:rPr>
              <w:t>应急备用路线不作为本次采购主要内容，如因使用该线路产生费用，费用的计算公式为：（常规线路运费</w:t>
            </w:r>
            <w:r>
              <w:rPr>
                <w:rFonts w:ascii="仿宋_GB2312" w:hAnsi="仿宋_GB2312" w:cs="仿宋_GB2312" w:eastAsia="仿宋_GB2312"/>
              </w:rPr>
              <w:t>-</w:t>
            </w:r>
            <w:r>
              <w:rPr>
                <w:rFonts w:ascii="仿宋_GB2312" w:hAnsi="仿宋_GB2312" w:cs="仿宋_GB2312" w:eastAsia="仿宋_GB2312"/>
              </w:rPr>
              <w:t>高速过路费）÷常规线路里程×应急备用路线里程</w:t>
            </w:r>
            <w:r>
              <w:rPr>
                <w:rFonts w:ascii="仿宋_GB2312" w:hAnsi="仿宋_GB2312" w:cs="仿宋_GB2312" w:eastAsia="仿宋_GB2312"/>
              </w:rPr>
              <w:t>+</w:t>
            </w:r>
            <w:r>
              <w:rPr>
                <w:rFonts w:ascii="仿宋_GB2312" w:hAnsi="仿宋_GB2312" w:cs="仿宋_GB2312" w:eastAsia="仿宋_GB2312"/>
              </w:rPr>
              <w:t>高速过路费。</w:t>
            </w:r>
          </w:p>
          <w:p>
            <w:pPr>
              <w:pStyle w:val="null3"/>
            </w:pPr>
            <w:r>
              <w:rPr>
                <w:rFonts w:ascii="仿宋_GB2312" w:hAnsi="仿宋_GB2312" w:cs="仿宋_GB2312" w:eastAsia="仿宋_GB2312"/>
              </w:rPr>
              <w:t xml:space="preserve">2. </w:t>
            </w:r>
            <w:r>
              <w:rPr>
                <w:rFonts w:ascii="仿宋_GB2312" w:hAnsi="仿宋_GB2312" w:cs="仿宋_GB2312" w:eastAsia="仿宋_GB2312"/>
              </w:rPr>
              <w:t>（二）中所述往返数为预估数，最终以实际运行数为准。</w:t>
            </w:r>
          </w:p>
          <w:p>
            <w:pPr>
              <w:pStyle w:val="null3"/>
            </w:pPr>
            <w:r>
              <w:rPr>
                <w:rFonts w:ascii="仿宋_GB2312" w:hAnsi="仿宋_GB2312" w:cs="仿宋_GB2312" w:eastAsia="仿宋_GB2312"/>
              </w:rPr>
              <w:t xml:space="preserve">3. </w:t>
            </w:r>
            <w:r>
              <w:rPr>
                <w:rFonts w:ascii="仿宋_GB2312" w:hAnsi="仿宋_GB2312" w:cs="仿宋_GB2312" w:eastAsia="仿宋_GB2312"/>
                <w:b/>
              </w:rPr>
              <w:t>服务期限：一年（</w:t>
            </w:r>
            <w:r>
              <w:rPr>
                <w:rFonts w:ascii="仿宋_GB2312" w:hAnsi="仿宋_GB2312" w:cs="仿宋_GB2312" w:eastAsia="仿宋_GB2312"/>
                <w:b/>
              </w:rPr>
              <w:t>202</w:t>
            </w:r>
            <w:r>
              <w:rPr>
                <w:rFonts w:ascii="仿宋_GB2312" w:hAnsi="仿宋_GB2312" w:cs="仿宋_GB2312" w:eastAsia="仿宋_GB2312"/>
                <w:b/>
              </w:rPr>
              <w:t>5</w:t>
            </w:r>
            <w:r>
              <w:rPr>
                <w:rFonts w:ascii="仿宋_GB2312" w:hAnsi="仿宋_GB2312" w:cs="仿宋_GB2312" w:eastAsia="仿宋_GB2312"/>
                <w:b/>
              </w:rPr>
              <w:t>年</w:t>
            </w:r>
            <w:r>
              <w:rPr>
                <w:rFonts w:ascii="仿宋_GB2312" w:hAnsi="仿宋_GB2312" w:cs="仿宋_GB2312" w:eastAsia="仿宋_GB2312"/>
                <w:b/>
              </w:rPr>
              <w:t>8</w:t>
            </w:r>
            <w:r>
              <w:rPr>
                <w:rFonts w:ascii="仿宋_GB2312" w:hAnsi="仿宋_GB2312" w:cs="仿宋_GB2312" w:eastAsia="仿宋_GB2312"/>
                <w:b/>
              </w:rPr>
              <w:t>月</w:t>
            </w:r>
            <w:r>
              <w:rPr>
                <w:rFonts w:ascii="仿宋_GB2312" w:hAnsi="仿宋_GB2312" w:cs="仿宋_GB2312" w:eastAsia="仿宋_GB2312"/>
                <w:b/>
              </w:rPr>
              <w:t>1</w:t>
            </w:r>
            <w:r>
              <w:rPr>
                <w:rFonts w:ascii="仿宋_GB2312" w:hAnsi="仿宋_GB2312" w:cs="仿宋_GB2312" w:eastAsia="仿宋_GB2312"/>
                <w:b/>
              </w:rPr>
              <w:t>日至</w:t>
            </w:r>
            <w:r>
              <w:rPr>
                <w:rFonts w:ascii="仿宋_GB2312" w:hAnsi="仿宋_GB2312" w:cs="仿宋_GB2312" w:eastAsia="仿宋_GB2312"/>
                <w:b/>
              </w:rPr>
              <w:t>202</w:t>
            </w:r>
            <w:r>
              <w:rPr>
                <w:rFonts w:ascii="仿宋_GB2312" w:hAnsi="仿宋_GB2312" w:cs="仿宋_GB2312" w:eastAsia="仿宋_GB2312"/>
                <w:b/>
              </w:rPr>
              <w:t>6</w:t>
            </w:r>
            <w:r>
              <w:rPr>
                <w:rFonts w:ascii="仿宋_GB2312" w:hAnsi="仿宋_GB2312" w:cs="仿宋_GB2312" w:eastAsia="仿宋_GB2312"/>
                <w:b/>
              </w:rPr>
              <w:t>年</w:t>
            </w:r>
            <w:r>
              <w:rPr>
                <w:rFonts w:ascii="仿宋_GB2312" w:hAnsi="仿宋_GB2312" w:cs="仿宋_GB2312" w:eastAsia="仿宋_GB2312"/>
                <w:b/>
              </w:rPr>
              <w:t>7</w:t>
            </w:r>
            <w:r>
              <w:rPr>
                <w:rFonts w:ascii="仿宋_GB2312" w:hAnsi="仿宋_GB2312" w:cs="仿宋_GB2312" w:eastAsia="仿宋_GB2312"/>
                <w:b/>
              </w:rPr>
              <w:t>月</w:t>
            </w:r>
            <w:r>
              <w:rPr>
                <w:rFonts w:ascii="仿宋_GB2312" w:hAnsi="仿宋_GB2312" w:cs="仿宋_GB2312" w:eastAsia="仿宋_GB2312"/>
                <w:b/>
              </w:rPr>
              <w:t>31</w:t>
            </w:r>
            <w:r>
              <w:rPr>
                <w:rFonts w:ascii="仿宋_GB2312" w:hAnsi="仿宋_GB2312" w:cs="仿宋_GB2312" w:eastAsia="仿宋_GB2312"/>
                <w:b/>
              </w:rPr>
              <w:t>日）。</w:t>
            </w:r>
          </w:p>
          <w:p>
            <w:pPr>
              <w:pStyle w:val="null3"/>
            </w:pPr>
            <w:r>
              <w:rPr>
                <w:rFonts w:ascii="仿宋_GB2312" w:hAnsi="仿宋_GB2312" w:cs="仿宋_GB2312" w:eastAsia="仿宋_GB2312"/>
              </w:rPr>
              <w:t xml:space="preserve">4. </w:t>
            </w:r>
            <w:r>
              <w:rPr>
                <w:rFonts w:ascii="仿宋_GB2312" w:hAnsi="仿宋_GB2312" w:cs="仿宋_GB2312" w:eastAsia="仿宋_GB2312"/>
              </w:rPr>
              <w:t>根据《财政部关于推进和完善服务项目政府采购有关问题的通知》</w:t>
            </w:r>
            <w:r>
              <w:rPr>
                <w:rFonts w:ascii="仿宋_GB2312" w:hAnsi="仿宋_GB2312" w:cs="仿宋_GB2312" w:eastAsia="仿宋_GB2312"/>
              </w:rPr>
              <w:t>(</w:t>
            </w:r>
            <w:r>
              <w:rPr>
                <w:rFonts w:ascii="仿宋_GB2312" w:hAnsi="仿宋_GB2312" w:cs="仿宋_GB2312" w:eastAsia="仿宋_GB2312"/>
              </w:rPr>
              <w:t>财库〔</w:t>
            </w:r>
            <w:r>
              <w:rPr>
                <w:rFonts w:ascii="仿宋_GB2312" w:hAnsi="仿宋_GB2312" w:cs="仿宋_GB2312" w:eastAsia="仿宋_GB2312"/>
              </w:rPr>
              <w:t>2014</w:t>
            </w:r>
            <w:r>
              <w:rPr>
                <w:rFonts w:ascii="仿宋_GB2312" w:hAnsi="仿宋_GB2312" w:cs="仿宋_GB2312" w:eastAsia="仿宋_GB2312"/>
              </w:rPr>
              <w:t>〕</w:t>
            </w:r>
            <w:r>
              <w:rPr>
                <w:rFonts w:ascii="仿宋_GB2312" w:hAnsi="仿宋_GB2312" w:cs="仿宋_GB2312" w:eastAsia="仿宋_GB2312"/>
              </w:rPr>
              <w:t>37</w:t>
            </w:r>
            <w:r>
              <w:rPr>
                <w:rFonts w:ascii="仿宋_GB2312" w:hAnsi="仿宋_GB2312" w:cs="仿宋_GB2312" w:eastAsia="仿宋_GB2312"/>
              </w:rPr>
              <w:t>号</w:t>
            </w:r>
            <w:r>
              <w:rPr>
                <w:rFonts w:ascii="仿宋_GB2312" w:hAnsi="仿宋_GB2312" w:cs="仿宋_GB2312" w:eastAsia="仿宋_GB2312"/>
              </w:rPr>
              <w:t>)</w:t>
            </w:r>
            <w:r>
              <w:rPr>
                <w:rFonts w:ascii="仿宋_GB2312" w:hAnsi="仿宋_GB2312" w:cs="仿宋_GB2312" w:eastAsia="仿宋_GB2312"/>
              </w:rPr>
              <w:t>有关规定，本项目在合同期满前，采购人将对中标人进行考核，根据服务满意程度，采购人有权决定是否续签合同，每次续签期限为</w:t>
            </w:r>
            <w:r>
              <w:rPr>
                <w:rFonts w:ascii="仿宋_GB2312" w:hAnsi="仿宋_GB2312" w:cs="仿宋_GB2312" w:eastAsia="仿宋_GB2312"/>
              </w:rPr>
              <w:t>1</w:t>
            </w:r>
            <w:r>
              <w:rPr>
                <w:rFonts w:ascii="仿宋_GB2312" w:hAnsi="仿宋_GB2312" w:cs="仿宋_GB2312" w:eastAsia="仿宋_GB2312"/>
              </w:rPr>
              <w:t>年，累计合同履行期限不超过</w:t>
            </w:r>
            <w:r>
              <w:rPr>
                <w:rFonts w:ascii="仿宋_GB2312" w:hAnsi="仿宋_GB2312" w:cs="仿宋_GB2312" w:eastAsia="仿宋_GB2312"/>
              </w:rPr>
              <w:t>2</w:t>
            </w:r>
            <w:r>
              <w:rPr>
                <w:rFonts w:ascii="仿宋_GB2312" w:hAnsi="仿宋_GB2312" w:cs="仿宋_GB2312" w:eastAsia="仿宋_GB2312"/>
              </w:rPr>
              <w:t>年。</w:t>
            </w:r>
          </w:p>
          <w:p>
            <w:pPr>
              <w:pStyle w:val="null3"/>
            </w:pPr>
            <w:r>
              <w:rPr>
                <w:rFonts w:ascii="仿宋_GB2312" w:hAnsi="仿宋_GB2312" w:cs="仿宋_GB2312" w:eastAsia="仿宋_GB2312"/>
              </w:rPr>
              <w:t>二、要求</w:t>
            </w:r>
          </w:p>
          <w:p>
            <w:pPr>
              <w:pStyle w:val="null3"/>
            </w:pPr>
            <w:r>
              <w:rPr>
                <w:rFonts w:ascii="仿宋_GB2312" w:hAnsi="仿宋_GB2312" w:cs="仿宋_GB2312" w:eastAsia="仿宋_GB2312"/>
              </w:rPr>
              <w:t>（一）总体服务方案</w:t>
            </w:r>
          </w:p>
          <w:p>
            <w:pPr>
              <w:pStyle w:val="null3"/>
            </w:pPr>
            <w:r>
              <w:rPr>
                <w:rFonts w:ascii="仿宋_GB2312" w:hAnsi="仿宋_GB2312" w:cs="仿宋_GB2312" w:eastAsia="仿宋_GB2312"/>
              </w:rPr>
              <w:t xml:space="preserve">1. </w:t>
            </w:r>
            <w:r>
              <w:rPr>
                <w:rFonts w:ascii="仿宋_GB2312" w:hAnsi="仿宋_GB2312" w:cs="仿宋_GB2312" w:eastAsia="仿宋_GB2312"/>
              </w:rPr>
              <w:t>总体服务保障方案：提出针对于本项目的总体服务方案，内容包括但不限于：服务理念及特色、服务目标及计划、重难点分析及管理模式。</w:t>
            </w:r>
          </w:p>
          <w:p>
            <w:pPr>
              <w:pStyle w:val="null3"/>
            </w:pPr>
            <w:r>
              <w:rPr>
                <w:rFonts w:ascii="仿宋_GB2312" w:hAnsi="仿宋_GB2312" w:cs="仿宋_GB2312" w:eastAsia="仿宋_GB2312"/>
              </w:rPr>
              <w:t xml:space="preserve">2. </w:t>
            </w:r>
            <w:r>
              <w:rPr>
                <w:rFonts w:ascii="仿宋_GB2312" w:hAnsi="仿宋_GB2312" w:cs="仿宋_GB2312" w:eastAsia="仿宋_GB2312"/>
              </w:rPr>
              <w:t>服务保障措施：服务保障措施具有可行性，其中包括但不限于人员服务质量、车辆车况质量、岗位配置、路线方案、具有专业的企业管理体系认证文件。</w:t>
            </w:r>
          </w:p>
          <w:p>
            <w:pPr>
              <w:pStyle w:val="null3"/>
            </w:pPr>
            <w:r>
              <w:rPr>
                <w:rFonts w:ascii="仿宋_GB2312" w:hAnsi="仿宋_GB2312" w:cs="仿宋_GB2312" w:eastAsia="仿宋_GB2312"/>
              </w:rPr>
              <w:t>（二）车辆配备要求</w:t>
            </w:r>
          </w:p>
          <w:p>
            <w:pPr>
              <w:pStyle w:val="null3"/>
            </w:pPr>
            <w:r>
              <w:rPr>
                <w:rFonts w:ascii="仿宋_GB2312" w:hAnsi="仿宋_GB2312" w:cs="仿宋_GB2312" w:eastAsia="仿宋_GB2312"/>
              </w:rPr>
              <w:t xml:space="preserve">1. </w:t>
            </w:r>
            <w:r>
              <w:rPr>
                <w:rFonts w:ascii="仿宋_GB2312" w:hAnsi="仿宋_GB2312" w:cs="仿宋_GB2312" w:eastAsia="仿宋_GB2312"/>
              </w:rPr>
              <w:t xml:space="preserve">投标车辆必须为西安籍自有产权车辆，所有权属于投标公司，车辆营运手续齐全。不接受挂靠车辆和联合体参与投标，一经查实取消投标单位资格并没收投标保证金。  </w:t>
            </w:r>
          </w:p>
          <w:p>
            <w:pPr>
              <w:pStyle w:val="null3"/>
            </w:pPr>
            <w:r>
              <w:rPr>
                <w:rFonts w:ascii="仿宋_GB2312" w:hAnsi="仿宋_GB2312" w:cs="仿宋_GB2312" w:eastAsia="仿宋_GB2312"/>
              </w:rPr>
              <w:t xml:space="preserve">2. </w:t>
            </w:r>
            <w:r>
              <w:rPr>
                <w:rFonts w:ascii="仿宋_GB2312" w:hAnsi="仿宋_GB2312" w:cs="仿宋_GB2312" w:eastAsia="仿宋_GB2312"/>
              </w:rPr>
              <w:t>提供的通勤班车车辆必须具备营运资质，不接受非营运车辆。且是自购买之日起不超过</w:t>
            </w:r>
            <w:r>
              <w:rPr>
                <w:rFonts w:ascii="仿宋_GB2312" w:hAnsi="仿宋_GB2312" w:cs="仿宋_GB2312" w:eastAsia="仿宋_GB2312"/>
              </w:rPr>
              <w:t>5</w:t>
            </w:r>
            <w:r>
              <w:rPr>
                <w:rFonts w:ascii="仿宋_GB2312" w:hAnsi="仿宋_GB2312" w:cs="仿宋_GB2312" w:eastAsia="仿宋_GB2312"/>
              </w:rPr>
              <w:t>年，车型统一、颜色一致的合法大型车辆。</w:t>
            </w:r>
          </w:p>
          <w:p>
            <w:pPr>
              <w:pStyle w:val="null3"/>
            </w:pPr>
            <w:r>
              <w:rPr>
                <w:rFonts w:ascii="仿宋_GB2312" w:hAnsi="仿宋_GB2312" w:cs="仿宋_GB2312" w:eastAsia="仿宋_GB2312"/>
              </w:rPr>
              <w:t xml:space="preserve">3. </w:t>
            </w:r>
            <w:r>
              <w:rPr>
                <w:rFonts w:ascii="仿宋_GB2312" w:hAnsi="仿宋_GB2312" w:cs="仿宋_GB2312" w:eastAsia="仿宋_GB2312"/>
              </w:rPr>
              <w:t>车辆保险齐全（包括交强险、第三者责任险及承运人责任险）。</w:t>
            </w:r>
          </w:p>
          <w:p>
            <w:pPr>
              <w:pStyle w:val="null3"/>
            </w:pPr>
            <w:r>
              <w:rPr>
                <w:rFonts w:ascii="仿宋_GB2312" w:hAnsi="仿宋_GB2312" w:cs="仿宋_GB2312" w:eastAsia="仿宋_GB2312"/>
              </w:rPr>
              <w:t xml:space="preserve">4. </w:t>
            </w:r>
            <w:r>
              <w:rPr>
                <w:rFonts w:ascii="仿宋_GB2312" w:hAnsi="仿宋_GB2312" w:cs="仿宋_GB2312" w:eastAsia="仿宋_GB2312"/>
              </w:rPr>
              <w:t>车辆手续齐全，且车辆必须经过国家法定部门检验合格，符合国家交通安全标准的车辆，车况良好，尾气排放达标。车辆需符合国家规定的安全环保等要求。</w:t>
            </w:r>
          </w:p>
          <w:p>
            <w:pPr>
              <w:pStyle w:val="null3"/>
            </w:pPr>
            <w:r>
              <w:rPr>
                <w:rFonts w:ascii="仿宋_GB2312" w:hAnsi="仿宋_GB2312" w:cs="仿宋_GB2312" w:eastAsia="仿宋_GB2312"/>
              </w:rPr>
              <w:t xml:space="preserve">5. </w:t>
            </w:r>
            <w:r>
              <w:rPr>
                <w:rFonts w:ascii="仿宋_GB2312" w:hAnsi="仿宋_GB2312" w:cs="仿宋_GB2312" w:eastAsia="仿宋_GB2312"/>
              </w:rPr>
              <w:t xml:space="preserve">保证所有车辆配备 </w:t>
            </w:r>
            <w:r>
              <w:rPr>
                <w:rFonts w:ascii="仿宋_GB2312" w:hAnsi="仿宋_GB2312" w:cs="仿宋_GB2312" w:eastAsia="仿宋_GB2312"/>
              </w:rPr>
              <w:t xml:space="preserve">GPS </w:t>
            </w:r>
            <w:r>
              <w:rPr>
                <w:rFonts w:ascii="仿宋_GB2312" w:hAnsi="仿宋_GB2312" w:cs="仿宋_GB2312" w:eastAsia="仿宋_GB2312"/>
              </w:rPr>
              <w:t>全球卫星定位系统、空调以及为司机配备蓝牙无线耳机，配备医用急救箱及清单、防火设备（灭火器及警示性标志牌）、安全锤、清洁、消毒用品，车内监控能随时查看且数据保存</w:t>
            </w:r>
            <w:r>
              <w:rPr>
                <w:rFonts w:ascii="仿宋_GB2312" w:hAnsi="仿宋_GB2312" w:cs="仿宋_GB2312" w:eastAsia="仿宋_GB2312"/>
              </w:rPr>
              <w:t>30</w:t>
            </w:r>
            <w:r>
              <w:rPr>
                <w:rFonts w:ascii="仿宋_GB2312" w:hAnsi="仿宋_GB2312" w:cs="仿宋_GB2312" w:eastAsia="仿宋_GB2312"/>
              </w:rPr>
              <w:t>天以上。</w:t>
            </w:r>
          </w:p>
          <w:p>
            <w:pPr>
              <w:pStyle w:val="null3"/>
            </w:pPr>
            <w:r>
              <w:rPr>
                <w:rFonts w:ascii="仿宋_GB2312" w:hAnsi="仿宋_GB2312" w:cs="仿宋_GB2312" w:eastAsia="仿宋_GB2312"/>
              </w:rPr>
              <w:t>6.</w:t>
            </w:r>
            <w:r>
              <w:rPr>
                <w:rFonts w:ascii="仿宋_GB2312" w:hAnsi="仿宋_GB2312" w:cs="仿宋_GB2312" w:eastAsia="仿宋_GB2312"/>
              </w:rPr>
              <w:t xml:space="preserve">为实现校园一卡通刷卡乘车及乘车数据统计，采取相应措施提高车辆利用率，采购人有权在车辆安装车载 </w:t>
            </w:r>
            <w:r>
              <w:rPr>
                <w:rFonts w:ascii="仿宋_GB2312" w:hAnsi="仿宋_GB2312" w:cs="仿宋_GB2312" w:eastAsia="仿宋_GB2312"/>
              </w:rPr>
              <w:t xml:space="preserve">P0S </w:t>
            </w:r>
            <w:r>
              <w:rPr>
                <w:rFonts w:ascii="仿宋_GB2312" w:hAnsi="仿宋_GB2312" w:cs="仿宋_GB2312" w:eastAsia="仿宋_GB2312"/>
              </w:rPr>
              <w:t>机。</w:t>
            </w:r>
          </w:p>
          <w:p>
            <w:pPr>
              <w:pStyle w:val="null3"/>
            </w:pPr>
            <w:r>
              <w:rPr>
                <w:rFonts w:ascii="仿宋_GB2312" w:hAnsi="仿宋_GB2312" w:cs="仿宋_GB2312" w:eastAsia="仿宋_GB2312"/>
              </w:rPr>
              <w:t xml:space="preserve">7. </w:t>
            </w:r>
            <w:r>
              <w:rPr>
                <w:rFonts w:ascii="仿宋_GB2312" w:hAnsi="仿宋_GB2312" w:cs="仿宋_GB2312" w:eastAsia="仿宋_GB2312"/>
              </w:rPr>
              <w:t>提供固定车辆</w:t>
            </w:r>
            <w:r>
              <w:rPr>
                <w:rFonts w:ascii="仿宋_GB2312" w:hAnsi="仿宋_GB2312" w:cs="仿宋_GB2312" w:eastAsia="仿宋_GB2312"/>
              </w:rPr>
              <w:t>7</w:t>
            </w:r>
            <w:r>
              <w:rPr>
                <w:rFonts w:ascii="仿宋_GB2312" w:hAnsi="仿宋_GB2312" w:cs="仿宋_GB2312" w:eastAsia="仿宋_GB2312"/>
              </w:rPr>
              <w:t>辆，其中</w:t>
            </w:r>
            <w:r>
              <w:rPr>
                <w:rFonts w:ascii="仿宋_GB2312" w:hAnsi="仿宋_GB2312" w:cs="仿宋_GB2312" w:eastAsia="仿宋_GB2312"/>
              </w:rPr>
              <w:t>47</w:t>
            </w:r>
            <w:r>
              <w:rPr>
                <w:rFonts w:ascii="仿宋_GB2312" w:hAnsi="仿宋_GB2312" w:cs="仿宋_GB2312" w:eastAsia="仿宋_GB2312"/>
              </w:rPr>
              <w:t>座以上（含</w:t>
            </w:r>
            <w:r>
              <w:rPr>
                <w:rFonts w:ascii="仿宋_GB2312" w:hAnsi="仿宋_GB2312" w:cs="仿宋_GB2312" w:eastAsia="仿宋_GB2312"/>
              </w:rPr>
              <w:t>47</w:t>
            </w:r>
            <w:r>
              <w:rPr>
                <w:rFonts w:ascii="仿宋_GB2312" w:hAnsi="仿宋_GB2312" w:cs="仿宋_GB2312" w:eastAsia="仿宋_GB2312"/>
              </w:rPr>
              <w:t>座）</w:t>
            </w:r>
            <w:r>
              <w:rPr>
                <w:rFonts w:ascii="仿宋_GB2312" w:hAnsi="仿宋_GB2312" w:cs="仿宋_GB2312" w:eastAsia="仿宋_GB2312"/>
              </w:rPr>
              <w:t>5</w:t>
            </w:r>
            <w:r>
              <w:rPr>
                <w:rFonts w:ascii="仿宋_GB2312" w:hAnsi="仿宋_GB2312" w:cs="仿宋_GB2312" w:eastAsia="仿宋_GB2312"/>
              </w:rPr>
              <w:t>辆、</w:t>
            </w:r>
            <w:r>
              <w:rPr>
                <w:rFonts w:ascii="仿宋_GB2312" w:hAnsi="仿宋_GB2312" w:cs="仿宋_GB2312" w:eastAsia="仿宋_GB2312"/>
              </w:rPr>
              <w:t>14</w:t>
            </w:r>
            <w:r>
              <w:rPr>
                <w:rFonts w:ascii="仿宋_GB2312" w:hAnsi="仿宋_GB2312" w:cs="仿宋_GB2312" w:eastAsia="仿宋_GB2312"/>
              </w:rPr>
              <w:t>座以上（含</w:t>
            </w:r>
            <w:r>
              <w:rPr>
                <w:rFonts w:ascii="仿宋_GB2312" w:hAnsi="仿宋_GB2312" w:cs="仿宋_GB2312" w:eastAsia="仿宋_GB2312"/>
              </w:rPr>
              <w:t>14</w:t>
            </w:r>
            <w:r>
              <w:rPr>
                <w:rFonts w:ascii="仿宋_GB2312" w:hAnsi="仿宋_GB2312" w:cs="仿宋_GB2312" w:eastAsia="仿宋_GB2312"/>
              </w:rPr>
              <w:t>座）</w:t>
            </w:r>
            <w:r>
              <w:rPr>
                <w:rFonts w:ascii="仿宋_GB2312" w:hAnsi="仿宋_GB2312" w:cs="仿宋_GB2312" w:eastAsia="仿宋_GB2312"/>
              </w:rPr>
              <w:t>22</w:t>
            </w:r>
            <w:r>
              <w:rPr>
                <w:rFonts w:ascii="仿宋_GB2312" w:hAnsi="仿宋_GB2312" w:cs="仿宋_GB2312" w:eastAsia="仿宋_GB2312"/>
              </w:rPr>
              <w:t>座以下（含</w:t>
            </w:r>
            <w:r>
              <w:rPr>
                <w:rFonts w:ascii="仿宋_GB2312" w:hAnsi="仿宋_GB2312" w:cs="仿宋_GB2312" w:eastAsia="仿宋_GB2312"/>
              </w:rPr>
              <w:t>22</w:t>
            </w:r>
            <w:r>
              <w:rPr>
                <w:rFonts w:ascii="仿宋_GB2312" w:hAnsi="仿宋_GB2312" w:cs="仿宋_GB2312" w:eastAsia="仿宋_GB2312"/>
              </w:rPr>
              <w:t>座）</w:t>
            </w:r>
            <w:r>
              <w:rPr>
                <w:rFonts w:ascii="仿宋_GB2312" w:hAnsi="仿宋_GB2312" w:cs="仿宋_GB2312" w:eastAsia="仿宋_GB2312"/>
              </w:rPr>
              <w:t>2</w:t>
            </w:r>
            <w:r>
              <w:rPr>
                <w:rFonts w:ascii="仿宋_GB2312" w:hAnsi="仿宋_GB2312" w:cs="仿宋_GB2312" w:eastAsia="仿宋_GB2312"/>
              </w:rPr>
              <w:t>辆，用于日常通勤班车。投标时必须提供拟投入服务车辆的最新彩色照片及行驶证、车牌的复印件。车辆在投标结束后不得更改。确需特殊原因需要更换的，必须提供书面申请，经采购方同意后，方可更换同类型同配置的车辆。</w:t>
            </w:r>
          </w:p>
          <w:p>
            <w:pPr>
              <w:pStyle w:val="null3"/>
            </w:pPr>
            <w:r>
              <w:rPr>
                <w:rFonts w:ascii="仿宋_GB2312" w:hAnsi="仿宋_GB2312" w:cs="仿宋_GB2312" w:eastAsia="仿宋_GB2312"/>
              </w:rPr>
              <w:t xml:space="preserve">8. </w:t>
            </w:r>
            <w:r>
              <w:rPr>
                <w:rFonts w:ascii="仿宋_GB2312" w:hAnsi="仿宋_GB2312" w:cs="仿宋_GB2312" w:eastAsia="仿宋_GB2312"/>
              </w:rPr>
              <w:t>车厢内外需整洁卫生，定期对车厢进行消毒，可配备便于拆洗方便的座套，并定期更换（根据采购方需要）。</w:t>
            </w:r>
          </w:p>
          <w:p>
            <w:pPr>
              <w:pStyle w:val="null3"/>
            </w:pPr>
            <w:r>
              <w:rPr>
                <w:rFonts w:ascii="仿宋_GB2312" w:hAnsi="仿宋_GB2312" w:cs="仿宋_GB2312" w:eastAsia="仿宋_GB2312"/>
              </w:rPr>
              <w:t xml:space="preserve">9. </w:t>
            </w:r>
            <w:r>
              <w:rPr>
                <w:rFonts w:ascii="仿宋_GB2312" w:hAnsi="仿宋_GB2312" w:cs="仿宋_GB2312" w:eastAsia="仿宋_GB2312"/>
              </w:rPr>
              <w:t>认真执行“三检”（出车前、行驶中、收车后）制度，做好车辆例行保养工作，遵守交通法规，安全运行。</w:t>
            </w:r>
          </w:p>
          <w:p>
            <w:pPr>
              <w:pStyle w:val="null3"/>
            </w:pPr>
            <w:r>
              <w:rPr>
                <w:rFonts w:ascii="仿宋_GB2312" w:hAnsi="仿宋_GB2312" w:cs="仿宋_GB2312" w:eastAsia="仿宋_GB2312"/>
              </w:rPr>
              <w:t>（三）人员配备要求</w:t>
            </w:r>
          </w:p>
          <w:p>
            <w:pPr>
              <w:pStyle w:val="null3"/>
            </w:pPr>
            <w:r>
              <w:rPr>
                <w:rFonts w:ascii="仿宋_GB2312" w:hAnsi="仿宋_GB2312" w:cs="仿宋_GB2312" w:eastAsia="仿宋_GB2312"/>
              </w:rPr>
              <w:t>组建专业的管理团队，配备类似学校项目管理经验丰富的项目管理人员和驾驶经验丰富的驾驶员；建立完善的运行管理制度体系。</w:t>
            </w:r>
          </w:p>
          <w:p>
            <w:pPr>
              <w:pStyle w:val="null3"/>
              <w:numPr>
                <w:ilvl w:val="0"/>
                <w:numId w:val="1"/>
              </w:numPr>
            </w:pPr>
            <w:r>
              <w:rPr>
                <w:rFonts w:ascii="仿宋_GB2312" w:hAnsi="仿宋_GB2312" w:cs="仿宋_GB2312" w:eastAsia="仿宋_GB2312"/>
              </w:rPr>
              <w:t>项目管理人员</w:t>
            </w:r>
          </w:p>
          <w:p>
            <w:pPr>
              <w:pStyle w:val="null3"/>
            </w:pPr>
            <w:r>
              <w:rPr>
                <w:rFonts w:ascii="仿宋_GB2312" w:hAnsi="仿宋_GB2312" w:cs="仿宋_GB2312" w:eastAsia="仿宋_GB2312"/>
              </w:rPr>
              <w:t>① 项目管理人员应具有专科及以上学历；</w:t>
            </w:r>
          </w:p>
          <w:p>
            <w:pPr>
              <w:pStyle w:val="null3"/>
            </w:pPr>
            <w:r>
              <w:rPr>
                <w:rFonts w:ascii="仿宋_GB2312" w:hAnsi="仿宋_GB2312" w:cs="仿宋_GB2312" w:eastAsia="仿宋_GB2312"/>
              </w:rPr>
              <w:t>② 具有类似学校项目服务</w:t>
            </w:r>
            <w:r>
              <w:rPr>
                <w:rFonts w:ascii="仿宋_GB2312" w:hAnsi="仿宋_GB2312" w:cs="仿宋_GB2312" w:eastAsia="仿宋_GB2312"/>
              </w:rPr>
              <w:t>3</w:t>
            </w:r>
            <w:r>
              <w:rPr>
                <w:rFonts w:ascii="仿宋_GB2312" w:hAnsi="仿宋_GB2312" w:cs="仿宋_GB2312" w:eastAsia="仿宋_GB2312"/>
              </w:rPr>
              <w:t>年及以上管理经验；</w:t>
            </w:r>
          </w:p>
          <w:p>
            <w:pPr>
              <w:pStyle w:val="null3"/>
            </w:pPr>
            <w:r>
              <w:rPr>
                <w:rFonts w:ascii="仿宋_GB2312" w:hAnsi="仿宋_GB2312" w:cs="仿宋_GB2312" w:eastAsia="仿宋_GB2312"/>
              </w:rPr>
              <w:t xml:space="preserve">③ </w:t>
            </w:r>
            <w:r>
              <w:rPr>
                <w:rFonts w:ascii="仿宋_GB2312" w:hAnsi="仿宋_GB2312" w:cs="仿宋_GB2312" w:eastAsia="仿宋_GB2312"/>
                <w:color w:val="000000"/>
              </w:rPr>
              <w:t>具有有效</w:t>
            </w:r>
            <w:r>
              <w:rPr>
                <w:rFonts w:ascii="仿宋_GB2312" w:hAnsi="仿宋_GB2312" w:cs="仿宋_GB2312" w:eastAsia="仿宋_GB2312"/>
                <w:color w:val="000000"/>
              </w:rPr>
              <w:t>A1驾驶证</w:t>
            </w:r>
            <w:r>
              <w:rPr>
                <w:rFonts w:ascii="仿宋_GB2312" w:hAnsi="仿宋_GB2312" w:cs="仿宋_GB2312" w:eastAsia="仿宋_GB2312"/>
                <w:color w:val="000000"/>
              </w:rPr>
              <w:t>。</w:t>
            </w:r>
          </w:p>
          <w:p>
            <w:pPr>
              <w:pStyle w:val="null3"/>
            </w:pPr>
            <w:r>
              <w:rPr>
                <w:rFonts w:ascii="仿宋_GB2312" w:hAnsi="仿宋_GB2312" w:cs="仿宋_GB2312" w:eastAsia="仿宋_GB2312"/>
              </w:rPr>
              <w:t xml:space="preserve">2. </w:t>
            </w:r>
            <w:r>
              <w:rPr>
                <w:rFonts w:ascii="仿宋_GB2312" w:hAnsi="仿宋_GB2312" w:cs="仿宋_GB2312" w:eastAsia="仿宋_GB2312"/>
              </w:rPr>
              <w:t>服务人员（驾驶员）</w:t>
            </w:r>
          </w:p>
          <w:p>
            <w:pPr>
              <w:pStyle w:val="null3"/>
            </w:pPr>
            <w:r>
              <w:rPr>
                <w:rFonts w:ascii="仿宋_GB2312" w:hAnsi="仿宋_GB2312" w:cs="仿宋_GB2312" w:eastAsia="仿宋_GB2312"/>
              </w:rPr>
              <w:t>① 驾驶员年龄应在</w:t>
            </w:r>
            <w:r>
              <w:rPr>
                <w:rFonts w:ascii="仿宋_GB2312" w:hAnsi="仿宋_GB2312" w:cs="仿宋_GB2312" w:eastAsia="仿宋_GB2312"/>
              </w:rPr>
              <w:t>50</w:t>
            </w:r>
            <w:r>
              <w:rPr>
                <w:rFonts w:ascii="仿宋_GB2312" w:hAnsi="仿宋_GB2312" w:cs="仿宋_GB2312" w:eastAsia="仿宋_GB2312"/>
              </w:rPr>
              <w:t>岁之内，初中以上学历，驾龄五年以上，三年内无重大交通责任事故记录。驾驶员必须持有道路旅客运输从业资格证及相应驾驶证，需提供</w:t>
            </w:r>
            <w:r>
              <w:rPr>
                <w:rFonts w:ascii="仿宋_GB2312" w:hAnsi="仿宋_GB2312" w:cs="仿宋_GB2312" w:eastAsia="仿宋_GB2312"/>
              </w:rPr>
              <w:t>12</w:t>
            </w:r>
            <w:r>
              <w:rPr>
                <w:rFonts w:ascii="仿宋_GB2312" w:hAnsi="仿宋_GB2312" w:cs="仿宋_GB2312" w:eastAsia="仿宋_GB2312"/>
              </w:rPr>
              <w:t>名固定车辆的驾驶员的驾驶证、健康证复印件（加盖公章）和无犯罪记录</w:t>
            </w:r>
            <w:r>
              <w:rPr>
                <w:rFonts w:ascii="仿宋_GB2312" w:hAnsi="仿宋_GB2312" w:cs="仿宋_GB2312" w:eastAsia="仿宋_GB2312"/>
              </w:rPr>
              <w:t>、</w:t>
            </w:r>
            <w:r>
              <w:rPr>
                <w:rFonts w:ascii="仿宋_GB2312" w:hAnsi="仿宋_GB2312" w:cs="仿宋_GB2312" w:eastAsia="仿宋_GB2312"/>
              </w:rPr>
              <w:t>吸毒史，身体、精神状况良好的承诺书。</w:t>
            </w:r>
          </w:p>
          <w:p>
            <w:pPr>
              <w:pStyle w:val="null3"/>
            </w:pPr>
            <w:r>
              <w:rPr>
                <w:rFonts w:ascii="仿宋_GB2312" w:hAnsi="仿宋_GB2312" w:cs="仿宋_GB2312" w:eastAsia="仿宋_GB2312"/>
              </w:rPr>
              <w:t>② 驾驶员出车时应着装统一，保持良好精神状态，遵守采购方规章制度，礼貌对待乘客，保证按时到位，车容整洁，安全平稳行车，服从采购方的合理安排，并在主要行车线路上按采购方所要求上下车地点接送乘客（违反交通规则的地点除外），如有违反，采购方有权要求更换驾驶员。</w:t>
            </w:r>
          </w:p>
          <w:p>
            <w:pPr>
              <w:pStyle w:val="null3"/>
            </w:pPr>
            <w:r>
              <w:rPr>
                <w:rFonts w:ascii="仿宋_GB2312" w:hAnsi="仿宋_GB2312" w:cs="仿宋_GB2312" w:eastAsia="仿宋_GB2312"/>
              </w:rPr>
              <w:t>③ 驾驶员应具有较好的读听写语言能力，熟悉西安市道路，遵纪守法、品行良好。</w:t>
            </w:r>
          </w:p>
          <w:p>
            <w:pPr>
              <w:pStyle w:val="null3"/>
            </w:pPr>
            <w:r>
              <w:rPr>
                <w:rFonts w:ascii="仿宋_GB2312" w:hAnsi="仿宋_GB2312" w:cs="仿宋_GB2312" w:eastAsia="仿宋_GB2312"/>
              </w:rPr>
              <w:t>④ 供应商应加强管理，定期进行驾驶员思想品德教育和业务技能培训及考核。上岗驾驶员必须经过专业培训，培训的内容包括礼仪、仪容仪表、沟通技巧、主动服务意识及责任意识。</w:t>
            </w:r>
          </w:p>
          <w:p>
            <w:pPr>
              <w:pStyle w:val="null3"/>
            </w:pPr>
            <w:r>
              <w:rPr>
                <w:rFonts w:ascii="仿宋_GB2312" w:hAnsi="仿宋_GB2312" w:cs="仿宋_GB2312" w:eastAsia="仿宋_GB2312"/>
              </w:rPr>
              <w:t>⑤ 驾驶人员须严格遵守交通法则及操作规范，不得带病开车、赌气开车及疲劳驾驶、酒后驾车；因违反交通法则而导致的一切后果均由供应商自行负责，如造成采购方任何损失，供应商须赔偿采购方全部损失。</w:t>
            </w:r>
          </w:p>
          <w:p>
            <w:pPr>
              <w:pStyle w:val="null3"/>
            </w:pPr>
            <w:r>
              <w:rPr>
                <w:rFonts w:ascii="仿宋_GB2312" w:hAnsi="仿宋_GB2312" w:cs="仿宋_GB2312" w:eastAsia="仿宋_GB2312"/>
              </w:rPr>
              <w:t>（四）班车运行要求</w:t>
            </w:r>
          </w:p>
          <w:p>
            <w:pPr>
              <w:pStyle w:val="null3"/>
            </w:pPr>
            <w:r>
              <w:rPr>
                <w:rFonts w:ascii="仿宋_GB2312" w:hAnsi="仿宋_GB2312" w:cs="仿宋_GB2312" w:eastAsia="仿宋_GB2312"/>
              </w:rPr>
              <w:t xml:space="preserve">1. </w:t>
            </w:r>
            <w:r>
              <w:rPr>
                <w:rFonts w:ascii="仿宋_GB2312" w:hAnsi="仿宋_GB2312" w:cs="仿宋_GB2312" w:eastAsia="仿宋_GB2312"/>
              </w:rPr>
              <w:t>发车准点率必须为</w:t>
            </w:r>
            <w:r>
              <w:rPr>
                <w:rFonts w:ascii="仿宋_GB2312" w:hAnsi="仿宋_GB2312" w:cs="仿宋_GB2312" w:eastAsia="仿宋_GB2312"/>
              </w:rPr>
              <w:t>100%</w:t>
            </w:r>
            <w:r>
              <w:rPr>
                <w:rFonts w:ascii="仿宋_GB2312" w:hAnsi="仿宋_GB2312" w:cs="仿宋_GB2312" w:eastAsia="仿宋_GB2312"/>
              </w:rPr>
              <w:t>（因天气、道路突发事件导致道路封路、堵塞等不可抗拒因素除外）。</w:t>
            </w:r>
          </w:p>
          <w:p>
            <w:pPr>
              <w:pStyle w:val="null3"/>
            </w:pPr>
            <w:r>
              <w:rPr>
                <w:rFonts w:ascii="仿宋_GB2312" w:hAnsi="仿宋_GB2312" w:cs="仿宋_GB2312" w:eastAsia="仿宋_GB2312"/>
              </w:rPr>
              <w:t xml:space="preserve">2. </w:t>
            </w:r>
            <w:r>
              <w:rPr>
                <w:rFonts w:ascii="仿宋_GB2312" w:hAnsi="仿宋_GB2312" w:cs="仿宋_GB2312" w:eastAsia="仿宋_GB2312"/>
              </w:rPr>
              <w:t>因承运方原因导致班车未准时发车或未按规定时间到达（全程</w:t>
            </w:r>
            <w:r>
              <w:rPr>
                <w:rFonts w:ascii="仿宋_GB2312" w:hAnsi="仿宋_GB2312" w:cs="仿宋_GB2312" w:eastAsia="仿宋_GB2312"/>
              </w:rPr>
              <w:t>55</w:t>
            </w:r>
            <w:r>
              <w:rPr>
                <w:rFonts w:ascii="仿宋_GB2312" w:hAnsi="仿宋_GB2312" w:cs="仿宋_GB2312" w:eastAsia="仿宋_GB2312"/>
              </w:rPr>
              <w:t>分钟内需到达）的，承运方需接受处罚（</w:t>
            </w:r>
            <w:r>
              <w:rPr>
                <w:rFonts w:ascii="仿宋_GB2312" w:hAnsi="仿宋_GB2312" w:cs="仿宋_GB2312" w:eastAsia="仿宋_GB2312"/>
              </w:rPr>
              <w:t>2</w:t>
            </w:r>
            <w:r>
              <w:rPr>
                <w:rFonts w:ascii="仿宋_GB2312" w:hAnsi="仿宋_GB2312" w:cs="仿宋_GB2312" w:eastAsia="仿宋_GB2312"/>
              </w:rPr>
              <w:t>倍往返报价），发生因承运方自身原因导致班车未按规定时间到达次数超过</w:t>
            </w:r>
            <w:r>
              <w:rPr>
                <w:rFonts w:ascii="仿宋_GB2312" w:hAnsi="仿宋_GB2312" w:cs="仿宋_GB2312" w:eastAsia="仿宋_GB2312"/>
              </w:rPr>
              <w:t>3</w:t>
            </w:r>
            <w:r>
              <w:rPr>
                <w:rFonts w:ascii="仿宋_GB2312" w:hAnsi="仿宋_GB2312" w:cs="仿宋_GB2312" w:eastAsia="仿宋_GB2312"/>
              </w:rPr>
              <w:t>次的，西安石油大学有权解除合同，并由承运方承担相应损失。</w:t>
            </w:r>
          </w:p>
          <w:p>
            <w:pPr>
              <w:pStyle w:val="null3"/>
            </w:pPr>
            <w:r>
              <w:rPr>
                <w:rFonts w:ascii="仿宋_GB2312" w:hAnsi="仿宋_GB2312" w:cs="仿宋_GB2312" w:eastAsia="仿宋_GB2312"/>
              </w:rPr>
              <w:t xml:space="preserve">3. </w:t>
            </w:r>
            <w:r>
              <w:rPr>
                <w:rFonts w:ascii="仿宋_GB2312" w:hAnsi="仿宋_GB2312" w:cs="仿宋_GB2312" w:eastAsia="仿宋_GB2312"/>
              </w:rPr>
              <w:t>工作日通勤班车、节假日班车运营路线及发返班次最终以西安石油大学要求为准。在运行过程中若另需增加班次，西安石油大学只需提前</w:t>
            </w:r>
            <w:r>
              <w:rPr>
                <w:rFonts w:ascii="仿宋_GB2312" w:hAnsi="仿宋_GB2312" w:cs="仿宋_GB2312" w:eastAsia="仿宋_GB2312"/>
              </w:rPr>
              <w:t>24</w:t>
            </w:r>
            <w:r>
              <w:rPr>
                <w:rFonts w:ascii="仿宋_GB2312" w:hAnsi="仿宋_GB2312" w:cs="仿宋_GB2312" w:eastAsia="仿宋_GB2312"/>
              </w:rPr>
              <w:t>小时告知承运方，承运方必须严格按照西安石油大学要求安排增加车辆，如不按要求安排增加车辆，承运方需接受处罚（</w:t>
            </w:r>
            <w:r>
              <w:rPr>
                <w:rFonts w:ascii="仿宋_GB2312" w:hAnsi="仿宋_GB2312" w:cs="仿宋_GB2312" w:eastAsia="仿宋_GB2312"/>
              </w:rPr>
              <w:t>2</w:t>
            </w:r>
            <w:r>
              <w:rPr>
                <w:rFonts w:ascii="仿宋_GB2312" w:hAnsi="仿宋_GB2312" w:cs="仿宋_GB2312" w:eastAsia="仿宋_GB2312"/>
              </w:rPr>
              <w:t>倍往返报价），此类未按要求安排增加车辆事件次数超过</w:t>
            </w:r>
            <w:r>
              <w:rPr>
                <w:rFonts w:ascii="仿宋_GB2312" w:hAnsi="仿宋_GB2312" w:cs="仿宋_GB2312" w:eastAsia="仿宋_GB2312"/>
              </w:rPr>
              <w:t>3</w:t>
            </w:r>
            <w:r>
              <w:rPr>
                <w:rFonts w:ascii="仿宋_GB2312" w:hAnsi="仿宋_GB2312" w:cs="仿宋_GB2312" w:eastAsia="仿宋_GB2312"/>
              </w:rPr>
              <w:t>次的，西安石油大学有权解除合同，并由承运方承担相应损失。</w:t>
            </w:r>
          </w:p>
          <w:p>
            <w:pPr>
              <w:pStyle w:val="null3"/>
            </w:pPr>
            <w:r>
              <w:rPr>
                <w:rFonts w:ascii="仿宋_GB2312" w:hAnsi="仿宋_GB2312" w:cs="仿宋_GB2312" w:eastAsia="仿宋_GB2312"/>
              </w:rPr>
              <w:t>（五）其他要求</w:t>
            </w:r>
          </w:p>
          <w:p>
            <w:pPr>
              <w:pStyle w:val="null3"/>
            </w:pPr>
            <w:r>
              <w:rPr>
                <w:rFonts w:ascii="仿宋_GB2312" w:hAnsi="仿宋_GB2312" w:cs="仿宋_GB2312" w:eastAsia="仿宋_GB2312"/>
              </w:rPr>
              <w:t xml:space="preserve">1. </w:t>
            </w:r>
            <w:r>
              <w:rPr>
                <w:rFonts w:ascii="仿宋_GB2312" w:hAnsi="仿宋_GB2312" w:cs="仿宋_GB2312" w:eastAsia="仿宋_GB2312"/>
              </w:rPr>
              <w:t>供应商名下</w:t>
            </w:r>
            <w:r>
              <w:rPr>
                <w:rFonts w:ascii="仿宋_GB2312" w:hAnsi="仿宋_GB2312" w:cs="仿宋_GB2312" w:eastAsia="仿宋_GB2312"/>
              </w:rPr>
              <w:t>拟投入本项目服务的</w:t>
            </w:r>
            <w:r>
              <w:rPr>
                <w:rFonts w:ascii="仿宋_GB2312" w:hAnsi="仿宋_GB2312" w:cs="仿宋_GB2312" w:eastAsia="仿宋_GB2312"/>
              </w:rPr>
              <w:t>所有车辆近</w:t>
            </w:r>
            <w:r>
              <w:rPr>
                <w:rFonts w:ascii="仿宋_GB2312" w:hAnsi="仿宋_GB2312" w:cs="仿宋_GB2312" w:eastAsia="仿宋_GB2312"/>
              </w:rPr>
              <w:t>3</w:t>
            </w:r>
            <w:r>
              <w:rPr>
                <w:rFonts w:ascii="仿宋_GB2312" w:hAnsi="仿宋_GB2312" w:cs="仿宋_GB2312" w:eastAsia="仿宋_GB2312"/>
              </w:rPr>
              <w:t>年内未发生重大的安全责任事故、管理责任事故及交通责任事故。</w:t>
            </w:r>
            <w:r>
              <w:rPr>
                <w:rFonts w:ascii="仿宋_GB2312" w:hAnsi="仿宋_GB2312" w:cs="仿宋_GB2312" w:eastAsia="仿宋_GB2312"/>
              </w:rPr>
              <w:t>（</w:t>
            </w:r>
            <w:r>
              <w:rPr>
                <w:rFonts w:ascii="仿宋_GB2312" w:hAnsi="仿宋_GB2312" w:cs="仿宋_GB2312" w:eastAsia="仿宋_GB2312"/>
              </w:rPr>
              <w:t>供应商承诺</w:t>
            </w:r>
            <w:r>
              <w:rPr>
                <w:rFonts w:ascii="仿宋_GB2312" w:hAnsi="仿宋_GB2312" w:cs="仿宋_GB2312" w:eastAsia="仿宋_GB2312"/>
              </w:rPr>
              <w:t>）</w:t>
            </w:r>
          </w:p>
          <w:p>
            <w:pPr>
              <w:pStyle w:val="null3"/>
            </w:pPr>
            <w:r>
              <w:rPr>
                <w:rFonts w:ascii="仿宋_GB2312" w:hAnsi="仿宋_GB2312" w:cs="仿宋_GB2312" w:eastAsia="仿宋_GB2312"/>
              </w:rPr>
              <w:t xml:space="preserve">2. </w:t>
            </w:r>
            <w:r>
              <w:rPr>
                <w:rFonts w:ascii="仿宋_GB2312" w:hAnsi="仿宋_GB2312" w:cs="仿宋_GB2312" w:eastAsia="仿宋_GB2312"/>
              </w:rPr>
              <w:t>中标人必须为本项目设置专业的管理团队，负责通勤班车调度及驾驶员管理等相关事宜，定期组织上岗人员的专业礼仪和安全培训等。</w:t>
            </w:r>
          </w:p>
          <w:p>
            <w:pPr>
              <w:pStyle w:val="null3"/>
            </w:pPr>
            <w:r>
              <w:rPr>
                <w:rFonts w:ascii="仿宋_GB2312" w:hAnsi="仿宋_GB2312" w:cs="仿宋_GB2312" w:eastAsia="仿宋_GB2312"/>
              </w:rPr>
              <w:t xml:space="preserve">3. </w:t>
            </w:r>
            <w:r>
              <w:rPr>
                <w:rFonts w:ascii="仿宋_GB2312" w:hAnsi="仿宋_GB2312" w:cs="仿宋_GB2312" w:eastAsia="仿宋_GB2312"/>
              </w:rPr>
              <w:t>无论在任何时候，优先保障通勤班车运输任务。如因班车调度不到位造成行政人员未能正常到岗办公等情况，将视情节扣除相应趟次租赁费用甚至双倍费用；如造成严重后果或出现</w:t>
            </w:r>
            <w:r>
              <w:rPr>
                <w:rFonts w:ascii="仿宋_GB2312" w:hAnsi="仿宋_GB2312" w:cs="仿宋_GB2312" w:eastAsia="仿宋_GB2312"/>
              </w:rPr>
              <w:t>3</w:t>
            </w:r>
            <w:r>
              <w:rPr>
                <w:rFonts w:ascii="仿宋_GB2312" w:hAnsi="仿宋_GB2312" w:cs="仿宋_GB2312" w:eastAsia="仿宋_GB2312"/>
              </w:rPr>
              <w:t>次及以上类似情况将终止合同，并由承运方承担相应损失。</w:t>
            </w:r>
          </w:p>
          <w:p>
            <w:pPr>
              <w:pStyle w:val="null3"/>
            </w:pPr>
            <w:r>
              <w:rPr>
                <w:rFonts w:ascii="仿宋_GB2312" w:hAnsi="仿宋_GB2312" w:cs="仿宋_GB2312" w:eastAsia="仿宋_GB2312"/>
              </w:rPr>
              <w:t xml:space="preserve">4. </w:t>
            </w:r>
            <w:r>
              <w:rPr>
                <w:rFonts w:ascii="仿宋_GB2312" w:hAnsi="仿宋_GB2312" w:cs="仿宋_GB2312" w:eastAsia="仿宋_GB2312"/>
              </w:rPr>
              <w:t>严格按照学校规定的发车时间、路线行驶，严禁中途甩客，严禁车辆未经校方同意擅自发走等违规行为，并视情节严重程度扣除相应趟次租赁费用甚至双倍费用。</w:t>
            </w:r>
          </w:p>
          <w:p>
            <w:pPr>
              <w:pStyle w:val="null3"/>
            </w:pPr>
            <w:r>
              <w:rPr>
                <w:rFonts w:ascii="仿宋_GB2312" w:hAnsi="仿宋_GB2312" w:cs="仿宋_GB2312" w:eastAsia="仿宋_GB2312"/>
              </w:rPr>
              <w:t xml:space="preserve">5. </w:t>
            </w:r>
            <w:r>
              <w:rPr>
                <w:rFonts w:ascii="仿宋_GB2312" w:hAnsi="仿宋_GB2312" w:cs="仿宋_GB2312" w:eastAsia="仿宋_GB2312"/>
              </w:rPr>
              <w:t>服务期内，必须确保在约定的时间内提供足够的车辆及人员为采购方提供服务。车辆在使用期间如确需维修、保养或季审、年审、接受定期检审及其它经采购方认可的合理因素而造成需要暂停运行时，供应商必须书面来函报备，并调派同等条件的车辆和驾驶人员供采购方使用及服务。</w:t>
            </w:r>
          </w:p>
          <w:p>
            <w:pPr>
              <w:pStyle w:val="null3"/>
            </w:pPr>
            <w:r>
              <w:rPr>
                <w:rFonts w:ascii="仿宋_GB2312" w:hAnsi="仿宋_GB2312" w:cs="仿宋_GB2312" w:eastAsia="仿宋_GB2312"/>
              </w:rPr>
              <w:t xml:space="preserve">6. </w:t>
            </w:r>
            <w:r>
              <w:rPr>
                <w:rFonts w:ascii="仿宋_GB2312" w:hAnsi="仿宋_GB2312" w:cs="仿宋_GB2312" w:eastAsia="仿宋_GB2312"/>
              </w:rPr>
              <w:t>中标人未征得采购人同意和谅解而单方面延迟服务，将按违约终止合同。中标人遇到可能妨碍按时服务和提供服务的情况，应当及时以书面形式通知采购人，说明原由、拖延的期限等；采购人在收到通知后，尽快进行情况评估并确定是否修改合同。</w:t>
            </w:r>
          </w:p>
          <w:p>
            <w:pPr>
              <w:pStyle w:val="null3"/>
            </w:pPr>
            <w:r>
              <w:rPr>
                <w:rFonts w:ascii="仿宋_GB2312" w:hAnsi="仿宋_GB2312" w:cs="仿宋_GB2312" w:eastAsia="仿宋_GB2312"/>
              </w:rPr>
              <w:t xml:space="preserve">7. </w:t>
            </w:r>
            <w:r>
              <w:rPr>
                <w:rFonts w:ascii="仿宋_GB2312" w:hAnsi="仿宋_GB2312" w:cs="仿宋_GB2312" w:eastAsia="仿宋_GB2312"/>
              </w:rPr>
              <w:t>中标人需要安排一名固定的现场管理人员驻校工作，每周驻校工作时间不少于</w:t>
            </w:r>
            <w:r>
              <w:rPr>
                <w:rFonts w:ascii="仿宋_GB2312" w:hAnsi="仿宋_GB2312" w:cs="仿宋_GB2312" w:eastAsia="仿宋_GB2312"/>
              </w:rPr>
              <w:t>2</w:t>
            </w:r>
            <w:r>
              <w:rPr>
                <w:rFonts w:ascii="仿宋_GB2312" w:hAnsi="仿宋_GB2312" w:cs="仿宋_GB2312" w:eastAsia="仿宋_GB2312"/>
              </w:rPr>
              <w:t>个工作日，由采购方提供工作场地、办公桌椅及文件柜，其他工作所需设备由中标人自备。</w:t>
            </w:r>
          </w:p>
          <w:p>
            <w:pPr>
              <w:pStyle w:val="null3"/>
            </w:pPr>
            <w:r>
              <w:rPr>
                <w:rFonts w:ascii="仿宋_GB2312" w:hAnsi="仿宋_GB2312" w:cs="仿宋_GB2312" w:eastAsia="仿宋_GB2312"/>
              </w:rPr>
              <w:t>三、投标报价及结算</w:t>
            </w:r>
          </w:p>
          <w:p>
            <w:pPr>
              <w:pStyle w:val="null3"/>
            </w:pPr>
            <w:r>
              <w:rPr>
                <w:rFonts w:ascii="仿宋_GB2312" w:hAnsi="仿宋_GB2312" w:cs="仿宋_GB2312" w:eastAsia="仿宋_GB2312"/>
              </w:rPr>
              <w:t>（一）通勤班线用车报价</w:t>
            </w:r>
          </w:p>
          <w:p>
            <w:pPr>
              <w:pStyle w:val="null3"/>
            </w:pPr>
            <w:r>
              <w:rPr>
                <w:rFonts w:ascii="仿宋_GB2312" w:hAnsi="仿宋_GB2312" w:cs="仿宋_GB2312" w:eastAsia="仿宋_GB2312"/>
              </w:rPr>
              <w:t>以一个往返为单位，分别按照行政通勤用车列出所用车型进行报价（此报价含税费，包括车辆的油费、保养费、司机工资、维修费、停车费、高速公路过桥费、车辆保险费等一切与车辆运营有关的所有费用）。投标书中的报价单位一律采用人民币（元）。</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）结算</w:t>
            </w:r>
          </w:p>
          <w:p>
            <w:pPr>
              <w:pStyle w:val="null3"/>
            </w:pPr>
            <w:r>
              <w:rPr>
                <w:rFonts w:ascii="仿宋_GB2312" w:hAnsi="仿宋_GB2312" w:cs="仿宋_GB2312" w:eastAsia="仿宋_GB2312"/>
              </w:rPr>
              <w:t>日常</w:t>
            </w:r>
            <w:r>
              <w:rPr>
                <w:rFonts w:ascii="仿宋_GB2312" w:hAnsi="仿宋_GB2312" w:cs="仿宋_GB2312" w:eastAsia="仿宋_GB2312"/>
              </w:rPr>
              <w:t>行政</w:t>
            </w:r>
            <w:r>
              <w:rPr>
                <w:rFonts w:ascii="仿宋_GB2312" w:hAnsi="仿宋_GB2312" w:cs="仿宋_GB2312" w:eastAsia="仿宋_GB2312"/>
              </w:rPr>
              <w:t>用车按月据实结算。西安石油大学根据工作日</w:t>
            </w:r>
            <w:r>
              <w:rPr>
                <w:rFonts w:ascii="仿宋_GB2312" w:hAnsi="仿宋_GB2312" w:cs="仿宋_GB2312" w:eastAsia="仿宋_GB2312"/>
              </w:rPr>
              <w:t>行政</w:t>
            </w:r>
            <w:r>
              <w:rPr>
                <w:rFonts w:ascii="仿宋_GB2312" w:hAnsi="仿宋_GB2312" w:cs="仿宋_GB2312" w:eastAsia="仿宋_GB2312"/>
              </w:rPr>
              <w:t>通勤班车、节假日班车实际往返数，按月进行结算；</w:t>
            </w:r>
          </w:p>
          <w:p>
            <w:pPr>
              <w:pStyle w:val="null3"/>
            </w:pPr>
            <w:r>
              <w:rPr>
                <w:rFonts w:ascii="仿宋_GB2312" w:hAnsi="仿宋_GB2312" w:cs="仿宋_GB2312" w:eastAsia="仿宋_GB2312"/>
              </w:rPr>
              <w:t>四、特殊名词解释</w:t>
            </w:r>
          </w:p>
          <w:p>
            <w:pPr>
              <w:pStyle w:val="null3"/>
              <w:jc w:val="both"/>
            </w:pPr>
            <w:r>
              <w:rPr>
                <w:rFonts w:ascii="仿宋_GB2312" w:hAnsi="仿宋_GB2312" w:cs="仿宋_GB2312" w:eastAsia="仿宋_GB2312"/>
              </w:rPr>
              <w:t>类似学校项目：和本项目类似的、供应商以非联合体形式参与的、服务内容为大、中、小学通勤保障的、合同期不小于一年的项目。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rPr>
              <w:t>最高限价明细表</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车辆用途</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车型要求</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最高限价单价（元）</w:t>
                  </w:r>
                </w:p>
              </w:tc>
            </w:tr>
            <w:tr>
              <w:tc>
                <w:tcPr>
                  <w:tcW w:type="dxa" w:w="8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行政通勤用车</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47座以上（含47座）</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880.00</w:t>
                  </w:r>
                </w:p>
              </w:tc>
            </w:tr>
            <w:tr>
              <w:tc>
                <w:tcPr>
                  <w:tcW w:type="dxa" w:w="851"/>
                  <w:vMerge/>
                  <w:tcBorders>
                    <w:top w:val="none" w:color="000000" w:sz="4"/>
                    <w:left w:val="single" w:color="000000" w:sz="4"/>
                    <w:bottom w:val="single" w:color="000000" w:sz="4"/>
                    <w:right w:val="single" w:color="000000" w:sz="4"/>
                  </w:tcBorders>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14座以上（含14座）</w:t>
                  </w:r>
                </w:p>
                <w:p>
                  <w:pPr>
                    <w:pStyle w:val="null3"/>
                    <w:jc w:val="center"/>
                  </w:pPr>
                  <w:r>
                    <w:rPr>
                      <w:rFonts w:ascii="仿宋_GB2312" w:hAnsi="仿宋_GB2312" w:cs="仿宋_GB2312" w:eastAsia="仿宋_GB2312"/>
                      <w:sz w:val="24"/>
                    </w:rPr>
                    <w:t>22座以下（含22座）</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650.00</w:t>
                  </w:r>
                </w:p>
              </w:tc>
            </w:tr>
          </w:tbl>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一年（2025年8月1日至2026年7月31日）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2025年8月1日-2025年8月31日，据实结算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2025年9月1日-2025年9月30日，据实结算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2025年10月1日-2025年10月31日，据实结算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2025年11月1日-2025年11月30日，据实结算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2025年12月1日-2025年12月31日，据实结算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2026年1月1日-2026年1月31日，据实结算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2026年2月1日-2026年2月28日，据实结算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2026年3月1日-2026年3月31日，据实结算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2026年4月1日-2026年4月30日，据实结算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2026年5月1日-2026年5月31日，据实结算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2026年6月1日-2026年6月30日，据实结算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2026年7月1日-2026年7月31日，据实结算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财政部关于推进和完善服务项目政府采购有关问题的通知》(财库〔2014〕37号)有关规定，本项目在合同期满前，采购人将对中标人进行考核，根据服务满意程度，采购人有权决定是否续签合同，每次续签期限为1年，累计合同履行期限不超过2年。（2）付款条件说明： 据实结算，每月初乙方根据上个月实际运行的往返数（经甲方核实后的数量）开具增值税专用发票交于甲方进行结算，甲方审核完毕后于当月15日前向乙方付款，如甲方未能按合同约定支付费用，超过正常支付时间30个工作日后，则按照应付未付费用总额的万分之五日息支付滞纳金给乙方。（如遇寒暑假，结算及付款时间可适当顺延至下学期开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 ④参加本次政府采购活动前3年内在经营活动中没有重大违纪，以及未被列入失信被执行人、重大税收违法案件当事人名单、政府采购严重违法失信行为记录名单的书面声明。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2023年度或2024年度审计报告（成立时间至提交响应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法定代表人参加磋商的，须出示身份证；法定代表人授权他人参加磋商的，须提供法定代表人授权委托书、被授权人身份证及被授权人近半年任意一个月的社保缴纳证明；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提供交通管理部门核发有效的《道路运输经营许可证》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根据项目情况制定详细的服务实施方案，主要由总体服务保障方案和服务保障措施包括但不限于（服务理念及特色、服务目标及计划、重难点分析及管理模式、人员服务质量、车辆车况质量、岗位配置。 满足磋商文件要求，无瑕疵：10分； 内容存在1处瑕疵：8分；内容存在2处瑕疵：6分；内容存在3处瑕疵：4分； 未提供方案或不满足磋商文件要求或内容存在4处及以上瑕疵：0分；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公司具有服务行业的专业管理体系认证，包括： ①ISO9001质量管理体系 ②ISO45001职业健康安全管理体系 ③ISO14001环境管理体系 ④GB/T31950诚信管理体系 ⑤SA8000社会责任管理体系 ⑥GB/T27922售后服务认证 能够提供管理体系认证证书的投标人，提供①的得1.5分，②③每提供一份得1分，④⑤⑥每提供一份得0.5分，总分5.00分。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通勤车司机具有详细的管理制度（岗位制度（包含但不限于：具有岗位职责、服务标准、岗位制度、作业流程等）、内控制度（包含但不限于：具有组织机构、内部管理制度、监督机制等）、人员管理制度（包含但不限于：具有员工日常管理办法、请销假制度、奖惩措施、激励机制、仪容仪表制度行车礼仪培训制度等））。 满足磋商文件要求，无瑕疵：5分；内容存在1处瑕疵：3分；内容存在2处瑕疵：1分； 未提供方案或不满足磋商文件要求或内容存在3处及以上瑕疵：0分；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供应商针对本项目提供培训考核方案包含但不限于（岗前培训、定期岗位培训、考核等）； 满足磋商文件要求，无瑕疵：5分； 内容存在1处瑕疵：3分； 内容存在2处瑕疵：1分； 未提供方案或不满足磋商文件要求或内容存在3处及以上瑕疵：0分；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包括但不限于（①车辆行驶中突发故障、恶劣天气行驶、突发交通事故和突发交通管制等的应急预案；②违法事件：防盗、打架斗殴、寻衅滋事的应急预案；③重要活动：重要接待、重大活动、各类迎检工作的应急预案）等。 满足磋商文件要求，无瑕疵：5分； 内容存在1处瑕疵：3分； 内容存在2处瑕疵：1分； 未提供方案或不满足磋商文件要求或内容存在3处及以上瑕疵：0分；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车辆配置</w:t>
            </w:r>
          </w:p>
        </w:tc>
        <w:tc>
          <w:tcPr>
            <w:tcW w:type="dxa" w:w="2492"/>
          </w:tcPr>
          <w:p>
            <w:pPr>
              <w:pStyle w:val="null3"/>
            </w:pPr>
            <w:r>
              <w:rPr>
                <w:rFonts w:ascii="仿宋_GB2312" w:hAnsi="仿宋_GB2312" w:cs="仿宋_GB2312" w:eastAsia="仿宋_GB2312"/>
              </w:rPr>
              <w:t>1.提供固定车辆7辆，其中47座以上（含47座）5辆、14座以上（含14座）22座以下（含22座）2辆，用于日常通勤班车。须提供拟投入服务车辆的最新彩色照片及行驶证、车牌的复印件。完全符合得2分，不提供或缺漏项不得分； 2.拟派车辆数量满足采购需求，车辆须经过国家法定部门检验合格，符合国家有关规定进行了机动车安全技术性能检测，车况良好。拟投入服务车辆须为项目所在地自有产权车辆，所有权属于供应商，车辆营运手续齐全。且是自购买之日起不超过5年，车型统一、颜色一致的合法大型车辆、拟投入服务车辆必须具备营运资质，不接受非营运车辆。提供拟投入车辆型号（提供车辆实物照片),服务车辆的车辆产权证明、最新照片及行驶证，使用年限、里程、手续、车内监控、GPS全球卫星定位系统、空调以及为司机配备蓝牙无线耳机，配备医用急救箱及清单、防火设备（灭火器及警示性标志牌）、安全锤、清洁、消毒用品等； 满足磋商文件要求，无瑕疵：6分； 内容存在1处瑕疵：4分； 内容存在2处瑕疵：2分； 未提供方案或不满足磋商文件要求或内容存在3处及以上瑕疵：0分；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责任保险</w:t>
            </w:r>
          </w:p>
        </w:tc>
        <w:tc>
          <w:tcPr>
            <w:tcW w:type="dxa" w:w="2492"/>
          </w:tcPr>
          <w:p>
            <w:pPr>
              <w:pStyle w:val="null3"/>
            </w:pPr>
            <w:r>
              <w:rPr>
                <w:rFonts w:ascii="仿宋_GB2312" w:hAnsi="仿宋_GB2312" w:cs="仿宋_GB2312" w:eastAsia="仿宋_GB2312"/>
              </w:rPr>
              <w:t>拟投入服务的车辆须具有投保机动 车交通事故责任强制保险和乘客责 任保险（乘客座位险不低于100万（含）),包含车损险、承运人责任险和商业第三者责任险等相关险种。险种齐全，完全满足本项目要求，能够确保项目执行的安全，提供相关证明材料，完全符合得2分，不提供或缺漏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①提供供应商2022年1月1日至今同类服务项目合同（以合同签订日期为准），每份合格业绩合同得1分，满分3分； 备注：须提供完整合同业绩及对应发票复印件（发票可提供服务期内任意一张），并加盖投标人公章，以上两种证明材料同时提供方可得分，否则不得分。 ②每提供一份对应合格业绩的服务好评（以被服务单位加盖鲜章的好评证明材料为计分依据，格式自拟），得1分，满分3分。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项目管理人员</w:t>
            </w:r>
          </w:p>
        </w:tc>
        <w:tc>
          <w:tcPr>
            <w:tcW w:type="dxa" w:w="2492"/>
          </w:tcPr>
          <w:p>
            <w:pPr>
              <w:pStyle w:val="null3"/>
            </w:pPr>
            <w:r>
              <w:rPr>
                <w:rFonts w:ascii="仿宋_GB2312" w:hAnsi="仿宋_GB2312" w:cs="仿宋_GB2312" w:eastAsia="仿宋_GB2312"/>
              </w:rPr>
              <w:t>1.学历要求：项目管理人员具有专科学历得1.5分，具有本科及以上学历得3分（取最高学历计分，不重复计分）。 赋分依据：须提供学信网经查证的《教育部学历证书电子注册备案表》，不提供或不满足学历要求不得分。 2.经验要求：项目管理人员具有类似学校项目至少1年服务管理经验，得1分；在此基础上，每增加一年类似学校项目服务管理经验额外增加1分，满分3分。 赋分依据：投标人需提供车队管理工作证明文件和被服务类似学校项目单位的证明材料，不提供或缺漏项不得分。 3.业务特殊要求：项目管理人员具有有效A1驾驶证的，得2分，否则不得分。 赋分依据：须提供驾驶证正、副本复印件，不提供或缺漏项不得分。 备注：除上述赋分依据外，还须同时提供投标人为项目经理缴纳的近一年的社保缴纳证明材料，不提供或缺漏项，本大项（8.00分）不得分。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1.人数要求（驾驶员）：供应商拟为本项目配备的驾驶员团队人数充足（含替补人员）。所提供驾驶员人数不少于12人。 2.资历要求：供应商拟为本项目配备的驾驶员年龄应在50岁之内，必须与供应商签订劳动合同，初中以上学历，A1驾龄五年以上，三年内无重大交通责任事故记录。驾驶员必须持有道路旅客运输从业资格证及相应驾驶证，需提供拟为本项目服务的至少12名固定车辆的驾驶员的驾驶证复印件，体检报告（近一年内），无犯罪记录证明，无吸毒史，身体、精神状况良好的承诺书等。 备注：除上述赋分依据外，还须同时提供供应商为驾驶员缴纳的近一年的社保缴纳证明材料。供应商暂无人员储备的，应提供计划人员储备清单或招聘计划等材料作为佐证材料（承诺计划储备人员或招聘计划中人员资历要求同上）。 满足磋商文件要求，无瑕疵：11分； 内容存在1处瑕疵：8分； 内容存在2处瑕疵：5分； 内容存在3处瑕疵：2分； 未提供方案或不满足磋商文件要求或内容存在4处及以上瑕疵：0分；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1.供应商承诺所有服务人员合理配备统一的工作服装，提供服装样照的得1分，未提供不得分； 2.供应商承诺对本项目服务的考核、监督及管理，定期调研采购人对服务质量的满意度并加以改进，确保服务工作的优质高效得1分，未提供不得分； 3.供应商承诺配备车辆固定、上岗人员固定，且与投标文件中拟投入的7辆固定车辆及7名固定驾驶员信息保持一致，不随意更换，若出现车辆故障、服务人员因事、病等不能工作的，能及时调整其他车辆、服务人员补充，确保服务工作的正常进行，以及储备可调度人员，调度人员可保障临时性工作需要及突发事件处置，得1分，未提供不得分； 4.供应商承诺参与西安石油大学与车辆运行线路、站点等相关的合理的基础建设（如乘车站点候车亭翻新、扩建及乘车点加装座椅等类似的基础建设），得1分，未提供不得分 。 5.供应商承诺认真执行“三检”（出车前、行驶中、收车后）制度，做好车辆例行保养工作定期进行车辆检测，遵守交通法规，确保安全运行 ,在接送员工过程中不超速、不搭乘其他人员，司乘人员确保员工上下车及车内安全，提供该制度的承诺得1分，未提供或缺漏项不得分。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报价总分30分，价格分采用低价优先法计算，即满足磋商文件要求且该项投标价格最低的投标报价为该项评标基准价，其该项价格分为满分。 其他供应商的价格分统一按照下列公式计算： 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