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DAE6C2A">
      <w:pPr>
        <w:pStyle w:val="2"/>
        <w:rPr>
          <w:rFonts w:hint="eastAsia"/>
          <w:b/>
          <w:sz w:val="32"/>
          <w:szCs w:val="32"/>
        </w:rPr>
      </w:pPr>
      <w:bookmarkStart w:id="0" w:name="_Toc27392"/>
      <w:r>
        <w:rPr>
          <w:rStyle w:val="8"/>
          <w:rFonts w:hint="eastAsia" w:ascii="宋体" w:hAnsi="宋体" w:cs="宋体"/>
          <w:b/>
          <w:bCs/>
          <w:sz w:val="36"/>
          <w:szCs w:val="36"/>
        </w:rPr>
        <w:t>合同条款及合同文件格式</w:t>
      </w:r>
      <w:bookmarkEnd w:id="0"/>
      <w:bookmarkStart w:id="2" w:name="_GoBack"/>
      <w:bookmarkEnd w:id="2"/>
    </w:p>
    <w:p w14:paraId="43ABCB90">
      <w:pPr>
        <w:spacing w:before="74" w:line="227" w:lineRule="auto"/>
        <w:ind w:left="1534"/>
        <w:rPr>
          <w:rFonts w:ascii="宋体" w:hAnsi="宋体" w:cs="宋体"/>
          <w:spacing w:val="23"/>
          <w:sz w:val="23"/>
          <w:szCs w:val="23"/>
        </w:rPr>
      </w:pPr>
    </w:p>
    <w:p w14:paraId="25F4FFA1">
      <w:pPr>
        <w:spacing w:line="360" w:lineRule="auto"/>
        <w:jc w:val="center"/>
        <w:rPr>
          <w:rFonts w:ascii="宋体" w:hAnsi="宋体" w:cs="宋体"/>
          <w:b/>
          <w:bCs/>
          <w:sz w:val="22"/>
          <w:szCs w:val="22"/>
        </w:rPr>
      </w:pPr>
      <w:r>
        <w:rPr>
          <w:rFonts w:ascii="宋体" w:hAnsi="宋体" w:cs="宋体"/>
          <w:b/>
          <w:bCs/>
          <w:spacing w:val="23"/>
          <w:sz w:val="22"/>
          <w:szCs w:val="22"/>
        </w:rPr>
        <w:t>(</w:t>
      </w:r>
      <w:r>
        <w:rPr>
          <w:rFonts w:ascii="宋体" w:hAnsi="宋体" w:cs="宋体"/>
          <w:b/>
          <w:bCs/>
          <w:spacing w:val="14"/>
          <w:sz w:val="22"/>
          <w:szCs w:val="22"/>
        </w:rPr>
        <w:t>合同版本仅供参考，最终以采购人通用的范本为准)</w:t>
      </w:r>
    </w:p>
    <w:p w14:paraId="3E0B3E59">
      <w:pPr>
        <w:spacing w:line="360" w:lineRule="auto"/>
        <w:rPr>
          <w:rFonts w:hint="eastAsia" w:ascii="宋体" w:hAnsi="宋体" w:cs="宋体"/>
          <w:sz w:val="24"/>
          <w:szCs w:val="24"/>
        </w:rPr>
      </w:pPr>
      <w:r>
        <w:rPr>
          <w:rFonts w:hint="eastAsia" w:ascii="宋体" w:hAnsi="宋体" w:cs="宋体"/>
          <w:sz w:val="24"/>
          <w:szCs w:val="24"/>
        </w:rPr>
        <w:t>发包人：</w:t>
      </w:r>
      <w:r>
        <w:rPr>
          <w:rFonts w:hint="eastAsia" w:ascii="宋体" w:hAnsi="宋体" w:cs="宋体"/>
          <w:sz w:val="24"/>
          <w:szCs w:val="24"/>
          <w:u w:val="single"/>
        </w:rPr>
        <w:t xml:space="preserve">                         </w:t>
      </w:r>
    </w:p>
    <w:p w14:paraId="23FE82B7">
      <w:pPr>
        <w:spacing w:line="360" w:lineRule="auto"/>
        <w:rPr>
          <w:rFonts w:hint="eastAsia" w:ascii="宋体" w:hAnsi="宋体" w:cs="宋体"/>
          <w:sz w:val="24"/>
          <w:szCs w:val="24"/>
        </w:rPr>
      </w:pPr>
      <w:r>
        <w:rPr>
          <w:rFonts w:hint="eastAsia" w:ascii="宋体" w:hAnsi="宋体" w:cs="宋体"/>
          <w:sz w:val="24"/>
          <w:szCs w:val="24"/>
        </w:rPr>
        <w:t>承包人：</w:t>
      </w:r>
      <w:r>
        <w:rPr>
          <w:rFonts w:hint="eastAsia" w:ascii="宋体" w:hAnsi="宋体" w:cs="宋体"/>
          <w:sz w:val="24"/>
          <w:szCs w:val="24"/>
          <w:u w:val="single"/>
        </w:rPr>
        <w:t xml:space="preserve">                         </w:t>
      </w:r>
    </w:p>
    <w:p w14:paraId="5164D7A3">
      <w:pPr>
        <w:spacing w:line="360" w:lineRule="auto"/>
        <w:ind w:firstLine="480" w:firstLineChars="200"/>
        <w:rPr>
          <w:rFonts w:hint="eastAsia" w:ascii="宋体" w:hAnsi="宋体" w:cs="宋体"/>
          <w:sz w:val="24"/>
          <w:szCs w:val="24"/>
        </w:rPr>
      </w:pPr>
      <w:r>
        <w:rPr>
          <w:rFonts w:hint="eastAsia" w:ascii="宋体" w:hAnsi="宋体" w:cs="宋体"/>
          <w:sz w:val="24"/>
          <w:szCs w:val="24"/>
        </w:rPr>
        <w:t>根据《中华人民共和国民法典》、《中华人民共和国建筑法》及有关法律规 定，遵循平等、自愿、公平和诚实信用的原则，双方经过磋商的采购方式，就</w:t>
      </w:r>
      <w:r>
        <w:rPr>
          <w:rFonts w:hint="eastAsia" w:ascii="宋体" w:hAnsi="宋体" w:cs="宋体"/>
          <w:sz w:val="24"/>
          <w:szCs w:val="24"/>
          <w:u w:val="single"/>
        </w:rPr>
        <w:t>陕西科技大学校学生社区二期建设工程项目</w:t>
      </w:r>
      <w:r>
        <w:rPr>
          <w:rFonts w:hint="eastAsia" w:ascii="宋体" w:hAnsi="宋体" w:cs="宋体"/>
          <w:sz w:val="24"/>
          <w:szCs w:val="24"/>
        </w:rPr>
        <w:t>及有关事项协商一致，共同达成如下协议：</w:t>
      </w:r>
    </w:p>
    <w:p w14:paraId="468D1D21">
      <w:pPr>
        <w:spacing w:line="360" w:lineRule="auto"/>
        <w:rPr>
          <w:rFonts w:hint="eastAsia" w:ascii="宋体" w:hAnsi="宋体" w:cs="宋体"/>
          <w:b/>
          <w:bCs/>
          <w:sz w:val="24"/>
          <w:szCs w:val="24"/>
        </w:rPr>
      </w:pPr>
      <w:r>
        <w:rPr>
          <w:rFonts w:hint="eastAsia" w:ascii="宋体" w:hAnsi="宋体" w:cs="宋体"/>
          <w:b/>
          <w:bCs/>
          <w:sz w:val="24"/>
          <w:szCs w:val="24"/>
        </w:rPr>
        <w:t>一、工程概况及其他说明</w:t>
      </w:r>
    </w:p>
    <w:p w14:paraId="5C05D751">
      <w:pPr>
        <w:spacing w:line="360" w:lineRule="auto"/>
        <w:ind w:firstLine="480" w:firstLineChars="200"/>
        <w:rPr>
          <w:rFonts w:hint="eastAsia" w:ascii="宋体" w:hAnsi="宋体" w:cs="宋体"/>
          <w:sz w:val="24"/>
          <w:szCs w:val="24"/>
        </w:rPr>
      </w:pPr>
      <w:r>
        <w:rPr>
          <w:rFonts w:hint="eastAsia" w:ascii="宋体" w:hAnsi="宋体" w:cs="宋体"/>
          <w:sz w:val="24"/>
          <w:szCs w:val="24"/>
        </w:rPr>
        <w:t>1.工程名称：</w:t>
      </w:r>
      <w:r>
        <w:rPr>
          <w:rFonts w:hint="eastAsia" w:ascii="宋体" w:hAnsi="宋体" w:cs="宋体"/>
          <w:sz w:val="24"/>
          <w:szCs w:val="24"/>
          <w:u w:val="single"/>
        </w:rPr>
        <w:t xml:space="preserve"> 陕西科技大学校学生社区二期建设工程项目 </w:t>
      </w:r>
      <w:r>
        <w:rPr>
          <w:rFonts w:hint="eastAsia" w:ascii="宋体" w:hAnsi="宋体" w:cs="宋体"/>
          <w:sz w:val="24"/>
          <w:szCs w:val="24"/>
        </w:rPr>
        <w:t xml:space="preserve">； </w:t>
      </w:r>
    </w:p>
    <w:p w14:paraId="4BC25571">
      <w:pPr>
        <w:spacing w:line="360" w:lineRule="auto"/>
        <w:ind w:firstLine="480" w:firstLineChars="200"/>
        <w:rPr>
          <w:rFonts w:hint="eastAsia" w:ascii="宋体" w:hAnsi="宋体" w:cs="宋体"/>
          <w:sz w:val="24"/>
          <w:szCs w:val="24"/>
        </w:rPr>
      </w:pPr>
      <w:r>
        <w:rPr>
          <w:rFonts w:hint="eastAsia" w:ascii="宋体" w:hAnsi="宋体" w:cs="宋体"/>
          <w:sz w:val="24"/>
          <w:szCs w:val="24"/>
        </w:rPr>
        <w:t>2.工程地点：</w:t>
      </w:r>
      <w:r>
        <w:rPr>
          <w:rFonts w:hint="eastAsia" w:ascii="宋体" w:hAnsi="宋体" w:cs="宋体"/>
          <w:sz w:val="24"/>
          <w:szCs w:val="24"/>
          <w:u w:val="single"/>
        </w:rPr>
        <w:t xml:space="preserve"> 陕西科技大学未央校区 </w:t>
      </w:r>
      <w:r>
        <w:rPr>
          <w:rFonts w:hint="eastAsia" w:ascii="宋体" w:hAnsi="宋体" w:cs="宋体"/>
          <w:sz w:val="24"/>
          <w:szCs w:val="24"/>
        </w:rPr>
        <w:t xml:space="preserve">；     </w:t>
      </w:r>
    </w:p>
    <w:p w14:paraId="19C6D749">
      <w:pPr>
        <w:spacing w:line="360" w:lineRule="auto"/>
        <w:ind w:firstLine="480" w:firstLineChars="200"/>
        <w:rPr>
          <w:rFonts w:hint="eastAsia" w:ascii="宋体" w:hAnsi="宋体" w:cs="宋体"/>
          <w:sz w:val="24"/>
          <w:szCs w:val="24"/>
        </w:rPr>
      </w:pPr>
      <w:r>
        <w:rPr>
          <w:rFonts w:hint="eastAsia" w:ascii="宋体" w:hAnsi="宋体" w:cs="宋体"/>
          <w:sz w:val="24"/>
          <w:szCs w:val="24"/>
        </w:rPr>
        <w:t>3.资金来源：</w:t>
      </w:r>
      <w:r>
        <w:rPr>
          <w:rFonts w:hint="eastAsia" w:ascii="宋体" w:hAnsi="宋体" w:cs="宋体"/>
          <w:sz w:val="24"/>
          <w:szCs w:val="24"/>
          <w:u w:val="single"/>
        </w:rPr>
        <w:t xml:space="preserve"> 已落实 </w:t>
      </w:r>
      <w:r>
        <w:rPr>
          <w:rFonts w:hint="eastAsia" w:ascii="宋体" w:hAnsi="宋体" w:cs="宋体"/>
          <w:sz w:val="24"/>
          <w:szCs w:val="24"/>
        </w:rPr>
        <w:t>；</w:t>
      </w:r>
    </w:p>
    <w:p w14:paraId="40A0338A">
      <w:pPr>
        <w:spacing w:line="360" w:lineRule="auto"/>
        <w:ind w:firstLine="480" w:firstLineChars="200"/>
        <w:rPr>
          <w:rFonts w:hint="eastAsia" w:ascii="宋体" w:hAnsi="宋体" w:cs="宋体"/>
          <w:sz w:val="24"/>
          <w:szCs w:val="24"/>
        </w:rPr>
      </w:pPr>
      <w:r>
        <w:rPr>
          <w:rFonts w:hint="eastAsia" w:ascii="宋体" w:hAnsi="宋体" w:cs="宋体"/>
          <w:sz w:val="24"/>
          <w:szCs w:val="24"/>
        </w:rPr>
        <w:t>4.工程内容：</w:t>
      </w:r>
      <w:r>
        <w:rPr>
          <w:rFonts w:hint="eastAsia" w:ascii="宋体" w:hAnsi="宋体" w:cs="宋体"/>
          <w:sz w:val="24"/>
          <w:szCs w:val="24"/>
          <w:u w:val="single"/>
        </w:rPr>
        <w:t xml:space="preserve"> 陕西科技大学校学生社区二期建设工程项目，采购内容:具体详见本项目竞争性磋商文件、工程量清单、答疑文件等文件的全部内容。</w:t>
      </w:r>
    </w:p>
    <w:p w14:paraId="644A678D">
      <w:pPr>
        <w:spacing w:line="360" w:lineRule="auto"/>
        <w:ind w:firstLine="480" w:firstLineChars="200"/>
        <w:rPr>
          <w:rFonts w:hint="eastAsia" w:ascii="宋体" w:hAnsi="宋体" w:cs="宋体"/>
          <w:sz w:val="24"/>
          <w:szCs w:val="24"/>
        </w:rPr>
      </w:pPr>
      <w:r>
        <w:rPr>
          <w:rFonts w:hint="eastAsia" w:ascii="宋体" w:hAnsi="宋体" w:cs="宋体"/>
          <w:sz w:val="24"/>
          <w:szCs w:val="24"/>
        </w:rPr>
        <w:t>5.工程承包范围：本项目的竞争性磋商文件、图纸、工程量清单、答疑文件 及其他补充说明文件等。</w:t>
      </w:r>
    </w:p>
    <w:p w14:paraId="11598B0B">
      <w:pPr>
        <w:spacing w:line="360" w:lineRule="auto"/>
        <w:ind w:firstLine="480" w:firstLineChars="200"/>
        <w:rPr>
          <w:rFonts w:hint="eastAsia" w:ascii="宋体" w:hAnsi="宋体" w:cs="宋体"/>
          <w:sz w:val="24"/>
          <w:szCs w:val="24"/>
        </w:rPr>
      </w:pPr>
      <w:r>
        <w:rPr>
          <w:rFonts w:hint="eastAsia" w:ascii="宋体" w:hAnsi="宋体" w:cs="宋体"/>
          <w:sz w:val="24"/>
          <w:szCs w:val="24"/>
        </w:rPr>
        <w:t>6.适用于合同的其他规范性文件：《中华人民共和国建筑法》、《中华人民 共和国民法典》《中华人民共和国安全生产法》《建筑工程质量管理条例》《建 筑工程强制性标准条文》《建筑工程质量保修办法》；陕西省、西安市关于安全 生产文明施工的法规、条例和规范性文件等。</w:t>
      </w:r>
    </w:p>
    <w:p w14:paraId="2BBDE02C">
      <w:pPr>
        <w:spacing w:line="360" w:lineRule="auto"/>
        <w:ind w:firstLine="480" w:firstLineChars="200"/>
        <w:rPr>
          <w:rFonts w:hint="eastAsia" w:ascii="宋体" w:hAnsi="宋体" w:cs="宋体"/>
          <w:sz w:val="24"/>
          <w:szCs w:val="24"/>
        </w:rPr>
      </w:pPr>
      <w:r>
        <w:rPr>
          <w:rFonts w:hint="eastAsia" w:ascii="宋体" w:hAnsi="宋体" w:cs="宋体"/>
          <w:sz w:val="24"/>
          <w:szCs w:val="24"/>
        </w:rPr>
        <w:t>7.标准和规范</w:t>
      </w:r>
    </w:p>
    <w:p w14:paraId="4EC2C5E3">
      <w:pPr>
        <w:spacing w:line="360" w:lineRule="auto"/>
        <w:ind w:firstLine="480" w:firstLineChars="200"/>
        <w:rPr>
          <w:rFonts w:hint="eastAsia" w:ascii="宋体" w:hAnsi="宋体" w:cs="宋体"/>
          <w:sz w:val="24"/>
          <w:szCs w:val="24"/>
        </w:rPr>
      </w:pPr>
      <w:r>
        <w:rPr>
          <w:rFonts w:hint="eastAsia" w:ascii="宋体" w:hAnsi="宋体" w:cs="宋体"/>
          <w:sz w:val="24"/>
          <w:szCs w:val="24"/>
          <w:u w:val="single"/>
        </w:rPr>
        <w:t>适用于工程的标准规范包括：国家建筑工程施工及验收规范标准以及材料、</w:t>
      </w:r>
      <w:r>
        <w:rPr>
          <w:rFonts w:hint="eastAsia" w:ascii="宋体" w:hAnsi="宋体" w:cs="宋体"/>
          <w:sz w:val="24"/>
          <w:szCs w:val="24"/>
        </w:rPr>
        <w:t xml:space="preserve"> </w:t>
      </w:r>
      <w:r>
        <w:rPr>
          <w:rFonts w:hint="eastAsia" w:ascii="宋体" w:hAnsi="宋体" w:cs="宋体"/>
          <w:sz w:val="24"/>
          <w:szCs w:val="24"/>
          <w:u w:val="single"/>
        </w:rPr>
        <w:t>设备所涉及的现行国家、省、市或行业的工程建设标准、规范的要求。</w:t>
      </w:r>
    </w:p>
    <w:p w14:paraId="4892FC73">
      <w:pPr>
        <w:spacing w:line="360" w:lineRule="auto"/>
        <w:ind w:firstLine="482" w:firstLineChars="200"/>
        <w:rPr>
          <w:rFonts w:hint="eastAsia" w:ascii="宋体" w:hAnsi="宋体" w:cs="宋体"/>
          <w:b/>
          <w:bCs/>
          <w:sz w:val="24"/>
          <w:szCs w:val="24"/>
        </w:rPr>
      </w:pPr>
      <w:r>
        <w:rPr>
          <w:rFonts w:hint="eastAsia" w:ascii="宋体" w:hAnsi="宋体" w:cs="宋体"/>
          <w:b/>
          <w:bCs/>
          <w:sz w:val="24"/>
          <w:szCs w:val="24"/>
        </w:rPr>
        <w:t>以上技术规范由承包人自备，如有不足之处或未能达到国家最新标准时，承包人应使施工及选用的材料符合最新版本的国家标准、规范。</w:t>
      </w:r>
    </w:p>
    <w:p w14:paraId="30CDA916">
      <w:pPr>
        <w:spacing w:line="360" w:lineRule="auto"/>
        <w:ind w:firstLine="480" w:firstLineChars="200"/>
        <w:rPr>
          <w:rFonts w:hint="eastAsia" w:ascii="宋体" w:hAnsi="宋体" w:cs="宋体"/>
          <w:sz w:val="24"/>
          <w:szCs w:val="24"/>
        </w:rPr>
      </w:pPr>
      <w:r>
        <w:rPr>
          <w:rFonts w:hint="eastAsia" w:ascii="宋体" w:hAnsi="宋体" w:cs="宋体"/>
          <w:sz w:val="24"/>
          <w:szCs w:val="24"/>
        </w:rPr>
        <w:t>8.交通运输</w:t>
      </w:r>
    </w:p>
    <w:p w14:paraId="76F39F6E">
      <w:pPr>
        <w:spacing w:line="360" w:lineRule="auto"/>
        <w:ind w:firstLine="480" w:firstLineChars="200"/>
        <w:rPr>
          <w:rFonts w:hint="eastAsia" w:ascii="宋体" w:hAnsi="宋体" w:cs="宋体"/>
          <w:sz w:val="24"/>
          <w:szCs w:val="24"/>
        </w:rPr>
      </w:pPr>
      <w:r>
        <w:rPr>
          <w:rFonts w:hint="eastAsia" w:ascii="宋体" w:hAnsi="宋体" w:cs="宋体"/>
          <w:sz w:val="24"/>
          <w:szCs w:val="24"/>
        </w:rPr>
        <w:t>关于出入现场的权利的约定：</w:t>
      </w:r>
      <w:r>
        <w:rPr>
          <w:rFonts w:hint="eastAsia" w:ascii="宋体" w:hAnsi="宋体" w:cs="宋体"/>
          <w:sz w:val="24"/>
          <w:szCs w:val="24"/>
          <w:u w:val="single"/>
        </w:rPr>
        <w:t xml:space="preserve"> 承包人负责现场管理，发包人遵守承包人现</w:t>
      </w:r>
      <w:r>
        <w:rPr>
          <w:rFonts w:hint="eastAsia" w:ascii="宋体" w:hAnsi="宋体" w:cs="宋体"/>
          <w:sz w:val="24"/>
          <w:szCs w:val="24"/>
        </w:rPr>
        <w:t xml:space="preserve"> </w:t>
      </w:r>
      <w:r>
        <w:rPr>
          <w:rFonts w:hint="eastAsia" w:ascii="宋体" w:hAnsi="宋体" w:cs="宋体"/>
          <w:sz w:val="24"/>
          <w:szCs w:val="24"/>
          <w:u w:val="single"/>
        </w:rPr>
        <w:t>场管理的规定。</w:t>
      </w:r>
    </w:p>
    <w:p w14:paraId="682774D8">
      <w:pPr>
        <w:spacing w:line="360" w:lineRule="auto"/>
        <w:ind w:firstLine="480" w:firstLineChars="200"/>
        <w:rPr>
          <w:rFonts w:hint="eastAsia" w:ascii="宋体" w:hAnsi="宋体" w:cs="宋体"/>
          <w:sz w:val="24"/>
          <w:szCs w:val="24"/>
        </w:rPr>
      </w:pPr>
      <w:r>
        <w:rPr>
          <w:rFonts w:hint="eastAsia" w:ascii="宋体" w:hAnsi="宋体" w:cs="宋体"/>
          <w:sz w:val="24"/>
          <w:szCs w:val="24"/>
        </w:rPr>
        <w:t>关于场外交通和场内交通的边界的约定：</w:t>
      </w:r>
      <w:r>
        <w:rPr>
          <w:rFonts w:hint="eastAsia" w:ascii="宋体" w:hAnsi="宋体" w:cs="宋体"/>
          <w:sz w:val="24"/>
          <w:szCs w:val="24"/>
          <w:u w:val="single"/>
        </w:rPr>
        <w:t xml:space="preserve"> 根据现场情况，双方另行约定 </w:t>
      </w:r>
      <w:r>
        <w:rPr>
          <w:rFonts w:hint="eastAsia" w:ascii="宋体" w:hAnsi="宋体" w:cs="宋体"/>
          <w:sz w:val="24"/>
          <w:szCs w:val="24"/>
        </w:rPr>
        <w:t>。</w:t>
      </w:r>
    </w:p>
    <w:p w14:paraId="72956E6C">
      <w:pPr>
        <w:spacing w:line="360" w:lineRule="auto"/>
        <w:ind w:firstLine="480" w:firstLineChars="200"/>
        <w:rPr>
          <w:rFonts w:hint="eastAsia" w:ascii="宋体" w:hAnsi="宋体" w:cs="宋体"/>
          <w:sz w:val="24"/>
          <w:szCs w:val="24"/>
        </w:rPr>
      </w:pPr>
      <w:r>
        <w:rPr>
          <w:rFonts w:hint="eastAsia" w:ascii="宋体" w:hAnsi="宋体" w:cs="宋体"/>
          <w:sz w:val="24"/>
          <w:szCs w:val="24"/>
        </w:rPr>
        <w:t>关于发包人向承包人免费提供满足工程施工需要的场内道路和交通设施的 约定：</w:t>
      </w:r>
      <w:r>
        <w:rPr>
          <w:rFonts w:hint="eastAsia" w:ascii="宋体" w:hAnsi="宋体" w:cs="宋体"/>
          <w:sz w:val="24"/>
          <w:szCs w:val="24"/>
          <w:u w:val="single"/>
        </w:rPr>
        <w:t xml:space="preserve"> 以场地现状为准，发包人不提供除现状外的其他道路</w:t>
      </w:r>
      <w:r>
        <w:rPr>
          <w:rFonts w:hint="eastAsia" w:ascii="宋体" w:hAnsi="宋体" w:cs="宋体"/>
          <w:sz w:val="24"/>
          <w:szCs w:val="24"/>
        </w:rPr>
        <w:t>。</w:t>
      </w:r>
    </w:p>
    <w:p w14:paraId="7D380D81">
      <w:pPr>
        <w:spacing w:line="360" w:lineRule="auto"/>
        <w:ind w:firstLine="480" w:firstLineChars="200"/>
        <w:rPr>
          <w:rFonts w:hint="eastAsia" w:ascii="宋体" w:hAnsi="宋体" w:cs="宋体"/>
          <w:sz w:val="24"/>
          <w:szCs w:val="24"/>
        </w:rPr>
      </w:pPr>
      <w:r>
        <w:rPr>
          <w:rFonts w:hint="eastAsia" w:ascii="宋体" w:hAnsi="宋体" w:cs="宋体"/>
          <w:sz w:val="24"/>
          <w:szCs w:val="24"/>
        </w:rPr>
        <w:t>超大件和超重件的运输：运输超大件或超重件所需的道路和桥梁临时加固改 造费用和其他有关费用由承包人承担。</w:t>
      </w:r>
    </w:p>
    <w:p w14:paraId="0F11FFF0">
      <w:pPr>
        <w:spacing w:line="360" w:lineRule="auto"/>
        <w:ind w:firstLine="480" w:firstLineChars="200"/>
        <w:rPr>
          <w:rFonts w:hint="eastAsia" w:ascii="宋体" w:hAnsi="宋体" w:cs="宋体"/>
          <w:sz w:val="24"/>
          <w:szCs w:val="24"/>
        </w:rPr>
      </w:pPr>
      <w:r>
        <w:rPr>
          <w:rFonts w:hint="eastAsia" w:ascii="宋体" w:hAnsi="宋体" w:cs="宋体"/>
          <w:sz w:val="24"/>
          <w:szCs w:val="24"/>
        </w:rPr>
        <w:t>9.知识产权</w:t>
      </w:r>
    </w:p>
    <w:p w14:paraId="1FD5C086">
      <w:pPr>
        <w:spacing w:line="360" w:lineRule="auto"/>
        <w:ind w:firstLine="480" w:firstLineChars="200"/>
        <w:rPr>
          <w:rFonts w:hint="eastAsia" w:ascii="宋体" w:hAnsi="宋体" w:cs="宋体"/>
          <w:sz w:val="24"/>
          <w:szCs w:val="24"/>
        </w:rPr>
      </w:pPr>
      <w:r>
        <w:rPr>
          <w:rFonts w:hint="eastAsia" w:ascii="宋体" w:hAnsi="宋体" w:cs="宋体"/>
          <w:sz w:val="24"/>
          <w:szCs w:val="24"/>
        </w:rPr>
        <w:t xml:space="preserve">关于发包人提供给承包人的资料、发包人为实施工程自行编制或委托编制的 技术规范以及反映发包人关于合同要求或其他类似性质的文件的著作权的归属： </w:t>
      </w:r>
      <w:r>
        <w:rPr>
          <w:rFonts w:hint="eastAsia" w:ascii="宋体" w:hAnsi="宋体" w:cs="宋体"/>
          <w:sz w:val="24"/>
          <w:szCs w:val="24"/>
          <w:u w:val="single"/>
        </w:rPr>
        <w:t xml:space="preserve">归属于发包人 </w:t>
      </w:r>
      <w:r>
        <w:rPr>
          <w:rFonts w:hint="eastAsia" w:ascii="宋体" w:hAnsi="宋体" w:cs="宋体"/>
          <w:sz w:val="24"/>
          <w:szCs w:val="24"/>
        </w:rPr>
        <w:t>。</w:t>
      </w:r>
    </w:p>
    <w:p w14:paraId="67BF6B1A">
      <w:pPr>
        <w:spacing w:line="360" w:lineRule="auto"/>
        <w:ind w:firstLine="480" w:firstLineChars="200"/>
        <w:rPr>
          <w:rFonts w:hint="eastAsia" w:ascii="宋体" w:hAnsi="宋体" w:cs="宋体"/>
          <w:sz w:val="24"/>
          <w:szCs w:val="24"/>
        </w:rPr>
      </w:pPr>
      <w:r>
        <w:rPr>
          <w:rFonts w:hint="eastAsia" w:ascii="宋体" w:hAnsi="宋体" w:cs="宋体"/>
          <w:sz w:val="24"/>
          <w:szCs w:val="24"/>
        </w:rPr>
        <w:t>关于发包人提供的上述文件的使用限制的要求：</w:t>
      </w:r>
      <w:r>
        <w:rPr>
          <w:rFonts w:hint="eastAsia" w:ascii="宋体" w:hAnsi="宋体" w:cs="宋体"/>
          <w:sz w:val="24"/>
          <w:szCs w:val="24"/>
          <w:u w:val="single"/>
        </w:rPr>
        <w:t xml:space="preserve"> 承包人对上述文件复制应</w:t>
      </w:r>
      <w:r>
        <w:rPr>
          <w:rFonts w:hint="eastAsia" w:ascii="宋体" w:hAnsi="宋体" w:cs="宋体"/>
          <w:sz w:val="24"/>
          <w:szCs w:val="24"/>
        </w:rPr>
        <w:t xml:space="preserve"> </w:t>
      </w:r>
      <w:r>
        <w:rPr>
          <w:rFonts w:hint="eastAsia" w:ascii="宋体" w:hAnsi="宋体" w:cs="宋体"/>
          <w:sz w:val="24"/>
          <w:szCs w:val="24"/>
          <w:u w:val="single"/>
        </w:rPr>
        <w:t>经发包人同意并记录，按受控文件要求进行管理，不得外传、外借。</w:t>
      </w:r>
    </w:p>
    <w:p w14:paraId="7B9DDF68">
      <w:pPr>
        <w:spacing w:line="360" w:lineRule="auto"/>
        <w:ind w:firstLine="480" w:firstLineChars="200"/>
        <w:rPr>
          <w:rFonts w:hint="eastAsia" w:ascii="宋体" w:hAnsi="宋体" w:cs="宋体"/>
          <w:sz w:val="24"/>
          <w:szCs w:val="24"/>
        </w:rPr>
      </w:pPr>
      <w:r>
        <w:rPr>
          <w:rFonts w:hint="eastAsia" w:ascii="宋体" w:hAnsi="宋体" w:cs="宋体"/>
          <w:sz w:val="24"/>
          <w:szCs w:val="24"/>
        </w:rPr>
        <w:t>关于承包人为实施工程所编制文件的著作权的归属：</w:t>
      </w:r>
      <w:r>
        <w:rPr>
          <w:rFonts w:hint="eastAsia" w:ascii="宋体" w:hAnsi="宋体" w:cs="宋体"/>
          <w:sz w:val="24"/>
          <w:szCs w:val="24"/>
          <w:u w:val="single"/>
        </w:rPr>
        <w:t xml:space="preserve"> 除署名权以外的著作</w:t>
      </w:r>
      <w:r>
        <w:rPr>
          <w:rFonts w:hint="eastAsia" w:ascii="宋体" w:hAnsi="宋体" w:cs="宋体"/>
          <w:sz w:val="24"/>
          <w:szCs w:val="24"/>
        </w:rPr>
        <w:t xml:space="preserve"> </w:t>
      </w:r>
      <w:r>
        <w:rPr>
          <w:rFonts w:hint="eastAsia" w:ascii="宋体" w:hAnsi="宋体" w:cs="宋体"/>
          <w:sz w:val="24"/>
          <w:szCs w:val="24"/>
          <w:u w:val="single"/>
        </w:rPr>
        <w:t xml:space="preserve">权属于发包人 </w:t>
      </w:r>
      <w:r>
        <w:rPr>
          <w:rFonts w:hint="eastAsia" w:ascii="宋体" w:hAnsi="宋体" w:cs="宋体"/>
          <w:sz w:val="24"/>
          <w:szCs w:val="24"/>
        </w:rPr>
        <w:t>。</w:t>
      </w:r>
    </w:p>
    <w:p w14:paraId="01EDA62E">
      <w:pPr>
        <w:spacing w:line="360" w:lineRule="auto"/>
        <w:ind w:firstLine="480" w:firstLineChars="200"/>
        <w:rPr>
          <w:rFonts w:hint="eastAsia" w:ascii="宋体" w:hAnsi="宋体" w:cs="宋体"/>
          <w:sz w:val="24"/>
          <w:szCs w:val="24"/>
        </w:rPr>
      </w:pPr>
      <w:r>
        <w:rPr>
          <w:rFonts w:hint="eastAsia" w:ascii="宋体" w:hAnsi="宋体" w:cs="宋体"/>
          <w:sz w:val="24"/>
          <w:szCs w:val="24"/>
        </w:rPr>
        <w:t>关于承包人提供的上述文件的使用限制的要求：</w:t>
      </w:r>
      <w:r>
        <w:rPr>
          <w:rFonts w:hint="eastAsia" w:ascii="宋体" w:hAnsi="宋体" w:cs="宋体"/>
          <w:sz w:val="24"/>
          <w:szCs w:val="24"/>
          <w:u w:val="single"/>
        </w:rPr>
        <w:t>承包人对上述文件复制应经</w:t>
      </w:r>
      <w:r>
        <w:rPr>
          <w:rFonts w:hint="eastAsia" w:ascii="宋体" w:hAnsi="宋体" w:cs="宋体"/>
          <w:sz w:val="24"/>
          <w:szCs w:val="24"/>
        </w:rPr>
        <w:t xml:space="preserve"> </w:t>
      </w:r>
      <w:r>
        <w:rPr>
          <w:rFonts w:hint="eastAsia" w:ascii="宋体" w:hAnsi="宋体" w:cs="宋体"/>
          <w:sz w:val="24"/>
          <w:szCs w:val="24"/>
          <w:u w:val="single"/>
        </w:rPr>
        <w:t xml:space="preserve">发包人同意并记录，按受控文件要求进行管理，不得外传、外借 </w:t>
      </w:r>
      <w:r>
        <w:rPr>
          <w:rFonts w:hint="eastAsia" w:ascii="宋体" w:hAnsi="宋体" w:cs="宋体"/>
          <w:sz w:val="24"/>
          <w:szCs w:val="24"/>
        </w:rPr>
        <w:t>。</w:t>
      </w:r>
    </w:p>
    <w:p w14:paraId="728A6FA0">
      <w:pPr>
        <w:spacing w:line="360" w:lineRule="auto"/>
        <w:ind w:firstLine="480" w:firstLineChars="200"/>
        <w:rPr>
          <w:rFonts w:hint="eastAsia" w:ascii="宋体" w:hAnsi="宋体" w:cs="宋体"/>
          <w:sz w:val="24"/>
          <w:szCs w:val="24"/>
        </w:rPr>
      </w:pPr>
      <w:r>
        <w:rPr>
          <w:rFonts w:hint="eastAsia" w:ascii="宋体" w:hAnsi="宋体" w:cs="宋体"/>
          <w:sz w:val="24"/>
          <w:szCs w:val="24"/>
        </w:rPr>
        <w:t>承包人在施工过程中所采用的专利、专有技术、技术秘密的使用费的承担方式：</w:t>
      </w:r>
      <w:r>
        <w:rPr>
          <w:rFonts w:hint="eastAsia" w:ascii="宋体" w:hAnsi="宋体" w:cs="宋体"/>
          <w:sz w:val="24"/>
          <w:szCs w:val="24"/>
          <w:u w:val="single"/>
        </w:rPr>
        <w:t xml:space="preserve"> 已包含在磋商报价中，发包人不再另行支付费用 </w:t>
      </w:r>
      <w:r>
        <w:rPr>
          <w:rFonts w:hint="eastAsia" w:ascii="宋体" w:hAnsi="宋体" w:cs="宋体"/>
          <w:sz w:val="24"/>
          <w:szCs w:val="24"/>
        </w:rPr>
        <w:t>。</w:t>
      </w:r>
    </w:p>
    <w:p w14:paraId="3D09B9E0">
      <w:pPr>
        <w:spacing w:line="360" w:lineRule="auto"/>
        <w:ind w:firstLine="480" w:firstLineChars="200"/>
        <w:rPr>
          <w:rFonts w:hint="eastAsia" w:ascii="宋体" w:hAnsi="宋体" w:cs="宋体"/>
          <w:sz w:val="24"/>
          <w:szCs w:val="24"/>
        </w:rPr>
      </w:pPr>
      <w:r>
        <w:rPr>
          <w:rFonts w:hint="eastAsia" w:ascii="宋体" w:hAnsi="宋体" w:cs="宋体"/>
          <w:sz w:val="24"/>
          <w:szCs w:val="24"/>
        </w:rPr>
        <w:t>10.分包：除发包人指定分包的内容外一律不允许分包。</w:t>
      </w:r>
    </w:p>
    <w:p w14:paraId="61DB63B9">
      <w:pPr>
        <w:spacing w:line="360" w:lineRule="auto"/>
        <w:ind w:firstLine="480" w:firstLineChars="200"/>
        <w:rPr>
          <w:rFonts w:hint="eastAsia" w:ascii="宋体" w:hAnsi="宋体" w:cs="宋体"/>
          <w:sz w:val="24"/>
          <w:szCs w:val="24"/>
        </w:rPr>
      </w:pPr>
      <w:r>
        <w:rPr>
          <w:rFonts w:hint="eastAsia" w:ascii="宋体" w:hAnsi="宋体" w:cs="宋体"/>
          <w:sz w:val="24"/>
          <w:szCs w:val="24"/>
        </w:rPr>
        <w:t>11. 工程照管与成品、半成品保护均由承包人负责并不另外记取任何费用。</w:t>
      </w:r>
    </w:p>
    <w:p w14:paraId="2480C665">
      <w:pPr>
        <w:spacing w:line="360" w:lineRule="auto"/>
        <w:rPr>
          <w:rFonts w:hint="eastAsia" w:ascii="宋体" w:hAnsi="宋体" w:cs="宋体"/>
          <w:b/>
          <w:bCs/>
          <w:sz w:val="24"/>
          <w:szCs w:val="24"/>
        </w:rPr>
      </w:pPr>
      <w:r>
        <w:rPr>
          <w:rFonts w:hint="eastAsia" w:ascii="宋体" w:hAnsi="宋体" w:cs="宋体"/>
          <w:b/>
          <w:bCs/>
          <w:sz w:val="24"/>
          <w:szCs w:val="24"/>
        </w:rPr>
        <w:t>二、合同工期</w:t>
      </w:r>
    </w:p>
    <w:p w14:paraId="5ACF5300">
      <w:pPr>
        <w:spacing w:line="360" w:lineRule="auto"/>
        <w:ind w:firstLine="480" w:firstLineChars="200"/>
        <w:rPr>
          <w:rFonts w:hint="eastAsia" w:ascii="宋体" w:hAnsi="宋体" w:cs="宋体"/>
          <w:sz w:val="24"/>
          <w:szCs w:val="24"/>
        </w:rPr>
      </w:pPr>
      <w:r>
        <w:rPr>
          <w:rFonts w:hint="eastAsia" w:ascii="宋体" w:hAnsi="宋体" w:cs="宋体"/>
          <w:sz w:val="24"/>
          <w:szCs w:val="24"/>
        </w:rPr>
        <w:t>工期：</w:t>
      </w:r>
      <w:r>
        <w:rPr>
          <w:rFonts w:hint="eastAsia" w:ascii="宋体" w:hAnsi="宋体" w:cs="宋体"/>
          <w:sz w:val="24"/>
          <w:szCs w:val="24"/>
          <w:u w:val="single"/>
        </w:rPr>
        <w:t xml:space="preserve">       </w:t>
      </w:r>
      <w:r>
        <w:rPr>
          <w:rFonts w:hint="eastAsia" w:ascii="宋体" w:hAnsi="宋体" w:cs="宋体"/>
          <w:sz w:val="24"/>
          <w:szCs w:val="24"/>
        </w:rPr>
        <w:t>个日历天内，计划开工日期：</w:t>
      </w:r>
      <w:r>
        <w:rPr>
          <w:rFonts w:hint="eastAsia" w:ascii="宋体" w:hAnsi="宋体" w:cs="宋体"/>
          <w:sz w:val="24"/>
          <w:szCs w:val="24"/>
          <w:u w:val="single"/>
        </w:rPr>
        <w:t xml:space="preserve">     </w:t>
      </w:r>
      <w:r>
        <w:rPr>
          <w:rFonts w:hint="eastAsia" w:ascii="宋体" w:hAnsi="宋体" w:cs="宋体"/>
          <w:sz w:val="24"/>
          <w:szCs w:val="24"/>
        </w:rPr>
        <w:t>年</w:t>
      </w:r>
      <w:r>
        <w:rPr>
          <w:rFonts w:hint="eastAsia" w:ascii="宋体" w:hAnsi="宋体" w:cs="宋体"/>
          <w:sz w:val="24"/>
          <w:szCs w:val="24"/>
          <w:u w:val="single"/>
        </w:rPr>
        <w:t xml:space="preserve">   </w:t>
      </w:r>
      <w:r>
        <w:rPr>
          <w:rFonts w:hint="eastAsia" w:ascii="宋体" w:hAnsi="宋体" w:cs="宋体"/>
          <w:sz w:val="24"/>
          <w:szCs w:val="24"/>
        </w:rPr>
        <w:t>月</w:t>
      </w:r>
      <w:r>
        <w:rPr>
          <w:rFonts w:hint="eastAsia" w:ascii="宋体" w:hAnsi="宋体" w:cs="宋体"/>
          <w:sz w:val="24"/>
          <w:szCs w:val="24"/>
          <w:u w:val="single"/>
        </w:rPr>
        <w:t xml:space="preserve">   </w:t>
      </w:r>
      <w:r>
        <w:rPr>
          <w:rFonts w:hint="eastAsia" w:ascii="宋体" w:hAnsi="宋体" w:cs="宋体"/>
          <w:sz w:val="24"/>
          <w:szCs w:val="24"/>
        </w:rPr>
        <w:t>日，</w:t>
      </w:r>
    </w:p>
    <w:p w14:paraId="4689B944">
      <w:pPr>
        <w:spacing w:line="360" w:lineRule="auto"/>
        <w:ind w:firstLine="480" w:firstLineChars="200"/>
        <w:rPr>
          <w:rFonts w:hint="eastAsia" w:ascii="宋体" w:hAnsi="宋体" w:cs="宋体"/>
          <w:sz w:val="24"/>
          <w:szCs w:val="24"/>
        </w:rPr>
      </w:pPr>
      <w:r>
        <w:rPr>
          <w:rFonts w:hint="eastAsia" w:ascii="宋体" w:hAnsi="宋体" w:cs="宋体"/>
          <w:sz w:val="24"/>
          <w:szCs w:val="24"/>
        </w:rPr>
        <w:t>计划竣工日期：</w:t>
      </w:r>
      <w:r>
        <w:rPr>
          <w:rFonts w:hint="eastAsia" w:ascii="宋体" w:hAnsi="宋体" w:cs="宋体"/>
          <w:sz w:val="24"/>
          <w:szCs w:val="24"/>
          <w:u w:val="single"/>
        </w:rPr>
        <w:t xml:space="preserve">     </w:t>
      </w:r>
      <w:r>
        <w:rPr>
          <w:rFonts w:hint="eastAsia" w:ascii="宋体" w:hAnsi="宋体" w:cs="宋体"/>
          <w:sz w:val="24"/>
          <w:szCs w:val="24"/>
        </w:rPr>
        <w:t>年</w:t>
      </w:r>
      <w:r>
        <w:rPr>
          <w:rFonts w:hint="eastAsia" w:ascii="宋体" w:hAnsi="宋体" w:cs="宋体"/>
          <w:sz w:val="24"/>
          <w:szCs w:val="24"/>
          <w:u w:val="single"/>
        </w:rPr>
        <w:t xml:space="preserve">    </w:t>
      </w:r>
      <w:r>
        <w:rPr>
          <w:rFonts w:hint="eastAsia" w:ascii="宋体" w:hAnsi="宋体" w:cs="宋体"/>
          <w:sz w:val="24"/>
          <w:szCs w:val="24"/>
        </w:rPr>
        <w:t>月</w:t>
      </w:r>
      <w:r>
        <w:rPr>
          <w:rFonts w:hint="eastAsia" w:ascii="宋体" w:hAnsi="宋体" w:cs="宋体"/>
          <w:sz w:val="24"/>
          <w:szCs w:val="24"/>
          <w:u w:val="single"/>
        </w:rPr>
        <w:t xml:space="preserve">    </w:t>
      </w:r>
      <w:r>
        <w:rPr>
          <w:rFonts w:hint="eastAsia" w:ascii="宋体" w:hAnsi="宋体" w:cs="宋体"/>
          <w:sz w:val="24"/>
          <w:szCs w:val="24"/>
        </w:rPr>
        <w:t>日。</w:t>
      </w:r>
    </w:p>
    <w:p w14:paraId="50F6DE4C">
      <w:pPr>
        <w:spacing w:line="360" w:lineRule="auto"/>
        <w:rPr>
          <w:rFonts w:hint="eastAsia" w:ascii="宋体" w:hAnsi="宋体" w:cs="宋体"/>
          <w:b/>
          <w:bCs/>
          <w:sz w:val="24"/>
          <w:szCs w:val="24"/>
        </w:rPr>
      </w:pPr>
      <w:r>
        <w:rPr>
          <w:rFonts w:hint="eastAsia" w:ascii="宋体" w:hAnsi="宋体" w:cs="宋体"/>
          <w:b/>
          <w:bCs/>
          <w:sz w:val="24"/>
          <w:szCs w:val="24"/>
        </w:rPr>
        <w:t>三、项目经理</w:t>
      </w:r>
    </w:p>
    <w:p w14:paraId="39A37C9A">
      <w:pPr>
        <w:spacing w:line="360" w:lineRule="auto"/>
        <w:ind w:firstLine="480" w:firstLineChars="200"/>
        <w:rPr>
          <w:rFonts w:hint="eastAsia" w:ascii="宋体" w:hAnsi="宋体" w:cs="宋体"/>
          <w:sz w:val="24"/>
          <w:szCs w:val="24"/>
        </w:rPr>
      </w:pPr>
      <w:r>
        <w:rPr>
          <w:rFonts w:hint="eastAsia" w:ascii="宋体" w:hAnsi="宋体" w:cs="宋体"/>
          <w:sz w:val="24"/>
          <w:szCs w:val="24"/>
        </w:rPr>
        <w:t>承包人项目经理：</w:t>
      </w:r>
      <w:r>
        <w:rPr>
          <w:rFonts w:hint="eastAsia" w:ascii="宋体" w:hAnsi="宋体" w:cs="宋体"/>
          <w:sz w:val="24"/>
          <w:szCs w:val="24"/>
          <w:u w:val="single"/>
        </w:rPr>
        <w:t xml:space="preserve">               </w:t>
      </w:r>
      <w:r>
        <w:rPr>
          <w:rFonts w:hint="eastAsia" w:ascii="宋体" w:hAnsi="宋体" w:cs="宋体"/>
          <w:sz w:val="24"/>
          <w:szCs w:val="24"/>
        </w:rPr>
        <w:t>。项目经理无正当理由不得更换，否则发包人有权解除本合同并由承包人承担由此带来的全部损失。</w:t>
      </w:r>
    </w:p>
    <w:p w14:paraId="61B508C6">
      <w:pPr>
        <w:spacing w:line="360" w:lineRule="auto"/>
        <w:rPr>
          <w:rFonts w:hint="eastAsia" w:ascii="宋体" w:hAnsi="宋体" w:cs="宋体"/>
          <w:b/>
          <w:bCs/>
          <w:sz w:val="24"/>
          <w:szCs w:val="24"/>
        </w:rPr>
      </w:pPr>
      <w:r>
        <w:rPr>
          <w:rFonts w:hint="eastAsia" w:ascii="宋体" w:hAnsi="宋体" w:cs="宋体"/>
          <w:b/>
          <w:bCs/>
          <w:sz w:val="24"/>
          <w:szCs w:val="24"/>
        </w:rPr>
        <w:t>四、质量标准</w:t>
      </w:r>
    </w:p>
    <w:p w14:paraId="5CAC4FFF">
      <w:pPr>
        <w:spacing w:line="360" w:lineRule="auto"/>
        <w:ind w:firstLine="480" w:firstLineChars="200"/>
        <w:rPr>
          <w:rFonts w:hint="eastAsia" w:ascii="宋体" w:hAnsi="宋体" w:cs="宋体"/>
          <w:sz w:val="24"/>
          <w:szCs w:val="24"/>
        </w:rPr>
      </w:pPr>
      <w:r>
        <w:rPr>
          <w:rFonts w:hint="eastAsia" w:ascii="宋体" w:hAnsi="宋体" w:cs="宋体"/>
          <w:sz w:val="24"/>
          <w:szCs w:val="24"/>
        </w:rPr>
        <w:t>1．本工程质量</w:t>
      </w:r>
      <w:r>
        <w:rPr>
          <w:rFonts w:hint="eastAsia" w:ascii="宋体" w:hAnsi="宋体" w:cs="宋体"/>
          <w:sz w:val="24"/>
          <w:szCs w:val="24"/>
          <w:u w:val="single"/>
        </w:rPr>
        <w:t xml:space="preserve"> 合格  </w:t>
      </w:r>
      <w:r>
        <w:rPr>
          <w:rFonts w:hint="eastAsia" w:ascii="宋体" w:hAnsi="宋体" w:cs="宋体"/>
          <w:sz w:val="24"/>
          <w:szCs w:val="24"/>
        </w:rPr>
        <w:t>。</w:t>
      </w:r>
    </w:p>
    <w:p w14:paraId="23FCEEB6">
      <w:pPr>
        <w:spacing w:line="360" w:lineRule="auto"/>
        <w:ind w:firstLine="480" w:firstLineChars="200"/>
        <w:rPr>
          <w:rFonts w:hint="eastAsia" w:ascii="宋体" w:hAnsi="宋体" w:cs="宋体"/>
          <w:sz w:val="24"/>
          <w:szCs w:val="24"/>
        </w:rPr>
      </w:pPr>
      <w:r>
        <w:rPr>
          <w:rFonts w:hint="eastAsia" w:ascii="宋体" w:hAnsi="宋体" w:cs="宋体"/>
          <w:sz w:val="24"/>
          <w:szCs w:val="24"/>
        </w:rPr>
        <w:t>2．承包人必须严格按照磋商文件和建筑工程规范、规程和标准进行施工，并接受发包人代表的管理和监督。</w:t>
      </w:r>
    </w:p>
    <w:p w14:paraId="718D2D21">
      <w:pPr>
        <w:spacing w:line="360" w:lineRule="auto"/>
        <w:ind w:firstLine="480" w:firstLineChars="200"/>
        <w:rPr>
          <w:rFonts w:hint="eastAsia" w:ascii="宋体" w:hAnsi="宋体" w:cs="宋体"/>
          <w:sz w:val="24"/>
          <w:szCs w:val="24"/>
        </w:rPr>
      </w:pPr>
      <w:r>
        <w:rPr>
          <w:rFonts w:hint="eastAsia" w:ascii="宋体" w:hAnsi="宋体" w:cs="宋体"/>
          <w:sz w:val="24"/>
          <w:szCs w:val="24"/>
        </w:rPr>
        <w:t>3．承包人应严格按照质量验收标准对工程组织施工。工程完工应会同发包人进行验收。竣工资料 (一式三份) ，逾期未提交，每天按总造价万分之三向发包人支付违约金。</w:t>
      </w:r>
    </w:p>
    <w:p w14:paraId="62F03906">
      <w:pPr>
        <w:spacing w:line="360" w:lineRule="auto"/>
        <w:ind w:firstLine="480" w:firstLineChars="200"/>
        <w:rPr>
          <w:rFonts w:hint="eastAsia" w:ascii="宋体" w:hAnsi="宋体" w:cs="宋体"/>
          <w:sz w:val="24"/>
          <w:szCs w:val="24"/>
        </w:rPr>
      </w:pPr>
      <w:r>
        <w:rPr>
          <w:rFonts w:hint="eastAsia" w:ascii="宋体" w:hAnsi="宋体" w:cs="宋体"/>
          <w:sz w:val="24"/>
          <w:szCs w:val="24"/>
        </w:rPr>
        <w:t>4．工程竣工后，承包人应按规定对工程进行保修，保修日期自交工验收之日算起，质量保修期2年。</w:t>
      </w:r>
    </w:p>
    <w:p w14:paraId="65AD2239">
      <w:pPr>
        <w:spacing w:line="360" w:lineRule="auto"/>
        <w:rPr>
          <w:rFonts w:hint="eastAsia" w:ascii="宋体" w:hAnsi="宋体" w:cs="宋体"/>
          <w:b/>
          <w:bCs/>
          <w:sz w:val="24"/>
          <w:szCs w:val="24"/>
        </w:rPr>
      </w:pPr>
      <w:r>
        <w:rPr>
          <w:rFonts w:hint="eastAsia" w:ascii="宋体" w:hAnsi="宋体" w:cs="宋体"/>
          <w:b/>
          <w:bCs/>
          <w:sz w:val="24"/>
          <w:szCs w:val="24"/>
        </w:rPr>
        <w:t>五、签约合同价与合同价格形式</w:t>
      </w:r>
    </w:p>
    <w:p w14:paraId="0A6D3C18">
      <w:pPr>
        <w:spacing w:line="360" w:lineRule="auto"/>
        <w:ind w:firstLine="480" w:firstLineChars="200"/>
        <w:rPr>
          <w:rFonts w:hint="eastAsia" w:ascii="宋体" w:hAnsi="宋体" w:cs="宋体"/>
          <w:sz w:val="24"/>
          <w:szCs w:val="24"/>
        </w:rPr>
      </w:pPr>
      <w:r>
        <w:rPr>
          <w:rFonts w:hint="eastAsia" w:ascii="宋体" w:hAnsi="宋体" w:cs="宋体"/>
          <w:sz w:val="24"/>
          <w:szCs w:val="24"/>
        </w:rPr>
        <w:t>1.签约合同价为：</w:t>
      </w:r>
    </w:p>
    <w:p w14:paraId="35880AFC">
      <w:pPr>
        <w:spacing w:line="360" w:lineRule="auto"/>
        <w:ind w:firstLine="480" w:firstLineChars="200"/>
        <w:rPr>
          <w:rFonts w:hint="eastAsia" w:ascii="宋体" w:hAnsi="宋体" w:cs="宋体"/>
          <w:sz w:val="24"/>
          <w:szCs w:val="24"/>
        </w:rPr>
      </w:pPr>
      <w:r>
        <w:rPr>
          <w:rFonts w:hint="eastAsia" w:ascii="宋体" w:hAnsi="宋体" w:cs="宋体"/>
          <w:sz w:val="24"/>
          <w:szCs w:val="24"/>
        </w:rPr>
        <w:t>人民币 (大写)</w:t>
      </w:r>
      <w:r>
        <w:rPr>
          <w:rFonts w:hint="eastAsia" w:ascii="宋体" w:hAnsi="宋体" w:cs="宋体"/>
          <w:sz w:val="24"/>
          <w:szCs w:val="24"/>
          <w:u w:val="single"/>
        </w:rPr>
        <w:t xml:space="preserve">             </w:t>
      </w:r>
      <w:r>
        <w:rPr>
          <w:rFonts w:hint="eastAsia" w:ascii="宋体" w:hAnsi="宋体" w:cs="宋体"/>
          <w:sz w:val="24"/>
          <w:szCs w:val="24"/>
        </w:rPr>
        <w:t>(¥</w:t>
      </w:r>
      <w:r>
        <w:rPr>
          <w:rFonts w:hint="eastAsia" w:ascii="宋体" w:hAnsi="宋体" w:cs="宋体"/>
          <w:sz w:val="24"/>
          <w:szCs w:val="24"/>
          <w:u w:val="single"/>
        </w:rPr>
        <w:t xml:space="preserve">        </w:t>
      </w:r>
      <w:r>
        <w:rPr>
          <w:rFonts w:hint="eastAsia" w:ascii="宋体" w:hAnsi="宋体" w:cs="宋体"/>
          <w:sz w:val="24"/>
          <w:szCs w:val="24"/>
        </w:rPr>
        <w:t>元)  (详见后附清单明细) 。</w:t>
      </w:r>
    </w:p>
    <w:p w14:paraId="58307436">
      <w:pPr>
        <w:spacing w:line="360" w:lineRule="auto"/>
        <w:ind w:firstLine="480" w:firstLineChars="200"/>
        <w:rPr>
          <w:rFonts w:hint="eastAsia" w:ascii="宋体" w:hAnsi="宋体" w:cs="宋体"/>
          <w:sz w:val="24"/>
          <w:szCs w:val="24"/>
        </w:rPr>
      </w:pPr>
      <w:r>
        <w:rPr>
          <w:rFonts w:hint="eastAsia" w:ascii="宋体" w:hAnsi="宋体" w:cs="宋体"/>
          <w:sz w:val="24"/>
          <w:szCs w:val="24"/>
        </w:rPr>
        <w:t>2.合同价格形式：</w:t>
      </w:r>
      <w:r>
        <w:rPr>
          <w:rFonts w:hint="eastAsia" w:ascii="宋体" w:hAnsi="宋体" w:cs="宋体"/>
          <w:sz w:val="24"/>
          <w:szCs w:val="24"/>
          <w:u w:val="single"/>
        </w:rPr>
        <w:t>固定单价合同</w:t>
      </w:r>
      <w:r>
        <w:rPr>
          <w:rFonts w:hint="eastAsia" w:ascii="宋体" w:hAnsi="宋体" w:cs="宋体"/>
          <w:sz w:val="24"/>
          <w:szCs w:val="24"/>
        </w:rPr>
        <w:t>。以上费用为包工包料、包工期、包质量、 包安全、包文明施工等所有完成本工程的所有费用；给定清单中未包含的子项目， 视为已包含在我方清单中；除采购人原因需要调整的，不以任何原因予以调整， 最终完成的工程量不得少于清单中的工程量，工程发包采用固定单价合同，固定 单价在约定的范围内不变。</w:t>
      </w:r>
    </w:p>
    <w:p w14:paraId="33E9BC3E">
      <w:pPr>
        <w:spacing w:line="360" w:lineRule="auto"/>
        <w:ind w:firstLine="480" w:firstLineChars="200"/>
        <w:rPr>
          <w:rFonts w:hint="eastAsia" w:ascii="宋体" w:hAnsi="宋体" w:cs="宋体"/>
          <w:sz w:val="24"/>
          <w:szCs w:val="24"/>
          <w:u w:val="single"/>
        </w:rPr>
      </w:pPr>
      <w:r>
        <w:rPr>
          <w:rFonts w:hint="eastAsia" w:ascii="宋体" w:hAnsi="宋体" w:cs="宋体"/>
          <w:sz w:val="24"/>
          <w:szCs w:val="24"/>
        </w:rPr>
        <w:t>3.本项目材料设备暂估价：</w:t>
      </w:r>
      <w:r>
        <w:rPr>
          <w:rFonts w:hint="eastAsia" w:ascii="宋体" w:hAnsi="宋体" w:cs="宋体"/>
          <w:sz w:val="24"/>
          <w:szCs w:val="24"/>
          <w:u w:val="single"/>
        </w:rPr>
        <w:t xml:space="preserve">       无           </w:t>
      </w:r>
      <w:r>
        <w:rPr>
          <w:rFonts w:hint="eastAsia" w:ascii="宋体" w:hAnsi="宋体" w:cs="宋体"/>
          <w:sz w:val="24"/>
          <w:szCs w:val="24"/>
        </w:rPr>
        <w:t>。</w:t>
      </w:r>
    </w:p>
    <w:p w14:paraId="2AA9288A">
      <w:pPr>
        <w:spacing w:line="360" w:lineRule="auto"/>
        <w:rPr>
          <w:rFonts w:ascii="宋体" w:hAnsi="宋体" w:cs="宋体"/>
          <w:b/>
          <w:bCs/>
          <w:color w:val="auto"/>
          <w:sz w:val="24"/>
          <w:szCs w:val="24"/>
        </w:rPr>
      </w:pPr>
      <w:r>
        <w:rPr>
          <w:rFonts w:hint="eastAsia" w:ascii="宋体" w:hAnsi="宋体" w:cs="宋体"/>
          <w:b/>
          <w:bCs/>
          <w:color w:val="auto"/>
          <w:sz w:val="24"/>
          <w:szCs w:val="24"/>
        </w:rPr>
        <w:t>六、综合单价包含的风险范围及其他风险以外情形的调价方法：</w:t>
      </w:r>
    </w:p>
    <w:p w14:paraId="530E36AC">
      <w:pPr>
        <w:spacing w:line="360" w:lineRule="auto"/>
        <w:rPr>
          <w:rFonts w:ascii="宋体" w:hAnsi="宋体" w:cs="宋体"/>
          <w:bCs/>
          <w:color w:val="auto"/>
          <w:sz w:val="24"/>
          <w:szCs w:val="24"/>
        </w:rPr>
      </w:pPr>
      <w:r>
        <w:rPr>
          <w:rFonts w:hint="eastAsia" w:ascii="宋体" w:hAnsi="宋体" w:cs="宋体"/>
          <w:bCs/>
          <w:color w:val="auto"/>
          <w:sz w:val="24"/>
          <w:szCs w:val="24"/>
        </w:rPr>
        <w:t>（一）风险范围及计价</w:t>
      </w:r>
    </w:p>
    <w:p w14:paraId="4893F00A">
      <w:pPr>
        <w:spacing w:line="360" w:lineRule="auto"/>
        <w:rPr>
          <w:rFonts w:ascii="宋体" w:hAnsi="宋体" w:cs="宋体"/>
          <w:bCs/>
          <w:color w:val="auto"/>
          <w:sz w:val="24"/>
          <w:szCs w:val="24"/>
        </w:rPr>
      </w:pPr>
      <w:r>
        <w:rPr>
          <w:rFonts w:hint="eastAsia" w:ascii="宋体" w:hAnsi="宋体" w:cs="宋体"/>
          <w:bCs/>
          <w:color w:val="auto"/>
          <w:sz w:val="24"/>
          <w:szCs w:val="24"/>
        </w:rPr>
        <w:t>1.本协议书中规定承包范围的所有工作内容的风险；</w:t>
      </w:r>
    </w:p>
    <w:p w14:paraId="31AB8373">
      <w:pPr>
        <w:spacing w:line="360" w:lineRule="auto"/>
        <w:rPr>
          <w:rFonts w:ascii="宋体" w:hAnsi="宋体" w:cs="宋体"/>
          <w:bCs/>
          <w:color w:val="auto"/>
          <w:sz w:val="24"/>
          <w:szCs w:val="24"/>
        </w:rPr>
      </w:pPr>
      <w:r>
        <w:rPr>
          <w:rFonts w:hint="eastAsia" w:ascii="宋体" w:hAnsi="宋体" w:cs="宋体"/>
          <w:bCs/>
          <w:color w:val="auto"/>
          <w:sz w:val="24"/>
          <w:szCs w:val="24"/>
        </w:rPr>
        <w:t>2.合同执行期间竞争性磋商响应文件自主报价内容的市场价格变化；</w:t>
      </w:r>
    </w:p>
    <w:p w14:paraId="5867A74B">
      <w:pPr>
        <w:spacing w:line="360" w:lineRule="auto"/>
        <w:rPr>
          <w:rFonts w:ascii="宋体" w:hAnsi="宋体" w:cs="宋体"/>
          <w:bCs/>
          <w:color w:val="auto"/>
          <w:sz w:val="24"/>
          <w:szCs w:val="24"/>
        </w:rPr>
      </w:pPr>
      <w:r>
        <w:rPr>
          <w:rFonts w:hint="eastAsia" w:ascii="宋体" w:hAnsi="宋体" w:cs="宋体"/>
          <w:bCs/>
          <w:color w:val="auto"/>
          <w:sz w:val="24"/>
          <w:szCs w:val="24"/>
        </w:rPr>
        <w:t>3.材料费（除约定材料）、机械费的社会价格浮动，除不可抗力因素规定以外发生的自然灾害、雨季施工的防御措施费、停水、停电的费用及国家政策调整、金融汇率变化、银行存贷款利率调整、承包人在投标前及合同明示或暗示的所有风险、责任和义务等均视为综合单价的风险；</w:t>
      </w:r>
    </w:p>
    <w:p w14:paraId="329CF211">
      <w:pPr>
        <w:spacing w:line="360" w:lineRule="auto"/>
        <w:rPr>
          <w:rFonts w:ascii="宋体" w:hAnsi="宋体" w:cs="宋体"/>
          <w:bCs/>
          <w:color w:val="auto"/>
          <w:sz w:val="24"/>
          <w:szCs w:val="24"/>
        </w:rPr>
      </w:pPr>
      <w:r>
        <w:rPr>
          <w:rFonts w:hint="eastAsia" w:ascii="宋体" w:hAnsi="宋体" w:cs="宋体"/>
          <w:bCs/>
          <w:color w:val="auto"/>
          <w:sz w:val="24"/>
          <w:szCs w:val="24"/>
        </w:rPr>
        <w:t>4.采购工程量清单包含的由于承包人漏报、未报的项目，采购人视同供应商优惠，不予调整，并认为此项费用已包括在工程量清单的其他综合单价和合价中。</w:t>
      </w:r>
    </w:p>
    <w:p w14:paraId="611D960A">
      <w:pPr>
        <w:spacing w:line="360" w:lineRule="auto"/>
        <w:rPr>
          <w:rFonts w:ascii="宋体" w:hAnsi="宋体" w:cs="宋体"/>
          <w:bCs/>
          <w:color w:val="auto"/>
          <w:sz w:val="24"/>
          <w:szCs w:val="24"/>
        </w:rPr>
      </w:pPr>
      <w:r>
        <w:rPr>
          <w:rFonts w:hint="eastAsia" w:ascii="宋体" w:hAnsi="宋体" w:cs="宋体"/>
          <w:bCs/>
          <w:color w:val="auto"/>
          <w:sz w:val="24"/>
          <w:szCs w:val="24"/>
        </w:rPr>
        <w:t>5.风险费用的计算方法：应由承包人承担的风险费用已由承包人根据自身经验做了充分估计并已计入合同协议确定的合同价款中，风险费用未单独计列的，应认为已经包含在合同价款中。</w:t>
      </w:r>
    </w:p>
    <w:p w14:paraId="7F4681E4">
      <w:pPr>
        <w:spacing w:line="360" w:lineRule="auto"/>
        <w:rPr>
          <w:rFonts w:ascii="宋体" w:hAnsi="宋体" w:cs="宋体"/>
          <w:bCs/>
          <w:color w:val="auto"/>
          <w:sz w:val="24"/>
          <w:szCs w:val="24"/>
        </w:rPr>
      </w:pPr>
      <w:r>
        <w:rPr>
          <w:rFonts w:hint="eastAsia" w:ascii="宋体" w:hAnsi="宋体" w:cs="宋体"/>
          <w:bCs/>
          <w:color w:val="auto"/>
          <w:sz w:val="24"/>
          <w:szCs w:val="24"/>
        </w:rPr>
        <w:t>（二）风险范围以外合同价格的调整方法</w:t>
      </w:r>
    </w:p>
    <w:p w14:paraId="688595F9">
      <w:pPr>
        <w:spacing w:line="360" w:lineRule="auto"/>
        <w:rPr>
          <w:rFonts w:ascii="宋体" w:hAnsi="宋体" w:cs="宋体"/>
          <w:bCs/>
          <w:color w:val="auto"/>
          <w:sz w:val="24"/>
          <w:szCs w:val="24"/>
        </w:rPr>
      </w:pPr>
      <w:r>
        <w:rPr>
          <w:rFonts w:hint="eastAsia" w:ascii="宋体" w:hAnsi="宋体" w:cs="宋体"/>
          <w:bCs/>
          <w:color w:val="auto"/>
          <w:sz w:val="24"/>
          <w:szCs w:val="24"/>
        </w:rPr>
        <w:t xml:space="preserve">竞争性磋商文件中的工程量清单标明的工程量作为供应商磋商报价的共同基础，竣工结算的工程量按照发、承包双方实际完成的工程量确定。采购工程量清单中的暂定项、专业暂估工程、清单漏项、经发包人确认的变更、签证，属于风险范围外合同价款，计算费用时按下列方法进行：  </w:t>
      </w:r>
    </w:p>
    <w:p w14:paraId="7812FD68">
      <w:pPr>
        <w:spacing w:line="360" w:lineRule="auto"/>
        <w:rPr>
          <w:rFonts w:ascii="宋体" w:hAnsi="宋体" w:cs="宋体"/>
          <w:bCs/>
          <w:color w:val="auto"/>
          <w:sz w:val="24"/>
          <w:szCs w:val="24"/>
        </w:rPr>
      </w:pPr>
      <w:r>
        <w:rPr>
          <w:rFonts w:hint="eastAsia" w:ascii="宋体" w:hAnsi="宋体" w:cs="宋体"/>
          <w:bCs/>
          <w:color w:val="auto"/>
          <w:sz w:val="24"/>
          <w:szCs w:val="24"/>
        </w:rPr>
        <w:t>包工包料、包工期、包质量、包安全、包文明施工的施工总承包。工程发包采用固定综合单价合同，投标综合单价在约定的范围内不变。招标范围内执行乙方中标综合单价，工程量据实结算。施工合同以外经发包方批准的工程价款确认办法：合同中已有适用于变更工程的价格，按合同已有价格；合同中没有适用的单价，由乙方提出变更认价报告，甲方对主材认价，相关取费参照2009《陕西省建筑工程工程量清单计价规则》、2004《陕西省安装工程消耗量定额》及相关价目表和学校相关规定执行。</w:t>
      </w:r>
    </w:p>
    <w:p w14:paraId="4E7310D8">
      <w:pPr>
        <w:spacing w:line="360" w:lineRule="auto"/>
        <w:rPr>
          <w:rFonts w:hint="eastAsia" w:ascii="宋体" w:hAnsi="宋体" w:cs="宋体"/>
          <w:b/>
          <w:bCs/>
          <w:sz w:val="24"/>
          <w:szCs w:val="24"/>
        </w:rPr>
      </w:pPr>
      <w:r>
        <w:rPr>
          <w:rFonts w:hint="eastAsia" w:ascii="宋体" w:hAnsi="宋体" w:cs="宋体"/>
          <w:b/>
          <w:bCs/>
          <w:sz w:val="24"/>
          <w:szCs w:val="24"/>
        </w:rPr>
        <w:t>七、工程款的支付与决算</w:t>
      </w:r>
    </w:p>
    <w:p w14:paraId="4FCC112F">
      <w:pPr>
        <w:spacing w:line="360" w:lineRule="auto"/>
        <w:ind w:firstLine="480" w:firstLineChars="200"/>
        <w:rPr>
          <w:rFonts w:hint="eastAsia" w:ascii="宋体" w:hAnsi="宋体" w:cs="宋体"/>
          <w:sz w:val="24"/>
          <w:szCs w:val="24"/>
        </w:rPr>
      </w:pPr>
      <w:r>
        <w:rPr>
          <w:rFonts w:hint="eastAsia" w:ascii="宋体" w:hAnsi="宋体" w:cs="宋体"/>
          <w:sz w:val="24"/>
          <w:szCs w:val="24"/>
        </w:rPr>
        <w:t>工程进度款结算与支付</w:t>
      </w:r>
    </w:p>
    <w:p w14:paraId="6E3B7455">
      <w:pPr>
        <w:numPr>
          <w:ilvl w:val="0"/>
          <w:numId w:val="1"/>
        </w:numPr>
        <w:spacing w:line="360" w:lineRule="auto"/>
        <w:ind w:firstLine="480" w:firstLineChars="200"/>
        <w:rPr>
          <w:rFonts w:hint="eastAsia" w:ascii="宋体" w:hAnsi="宋体" w:cs="宋体"/>
          <w:sz w:val="24"/>
          <w:szCs w:val="24"/>
        </w:rPr>
      </w:pPr>
      <w:r>
        <w:rPr>
          <w:rFonts w:hint="eastAsia" w:ascii="宋体" w:hAnsi="宋体" w:cs="宋体"/>
          <w:sz w:val="24"/>
          <w:szCs w:val="24"/>
        </w:rPr>
        <w:t xml:space="preserve">工程竣工、验收合格后15个工作日内支付合同总价款（不含暂列金）的70%； </w:t>
      </w:r>
    </w:p>
    <w:p w14:paraId="08FC41EB">
      <w:pPr>
        <w:spacing w:line="360" w:lineRule="auto"/>
        <w:ind w:firstLine="480" w:firstLineChars="200"/>
        <w:rPr>
          <w:rFonts w:hint="eastAsia" w:ascii="宋体" w:hAnsi="宋体" w:cs="宋体"/>
          <w:sz w:val="24"/>
          <w:szCs w:val="24"/>
        </w:rPr>
      </w:pPr>
      <w:r>
        <w:rPr>
          <w:rFonts w:hint="eastAsia" w:ascii="宋体" w:hAnsi="宋体" w:cs="宋体"/>
          <w:sz w:val="24"/>
          <w:szCs w:val="24"/>
        </w:rPr>
        <w:t>（2）待审计完成后，支付至最终审定总价的 97%；</w:t>
      </w:r>
    </w:p>
    <w:p w14:paraId="0AFA609F">
      <w:pPr>
        <w:spacing w:line="360" w:lineRule="auto"/>
        <w:ind w:firstLine="480" w:firstLineChars="200"/>
        <w:rPr>
          <w:rFonts w:hint="eastAsia" w:ascii="宋体" w:hAnsi="宋体" w:cs="宋体"/>
          <w:sz w:val="24"/>
          <w:szCs w:val="24"/>
        </w:rPr>
      </w:pPr>
      <w:r>
        <w:rPr>
          <w:rFonts w:hint="eastAsia" w:ascii="宋体" w:hAnsi="宋体" w:cs="宋体"/>
          <w:sz w:val="24"/>
          <w:szCs w:val="24"/>
        </w:rPr>
        <w:t>（3）剩余的3%作为质保金，在质保期满后7个工作日内无息退还。</w:t>
      </w:r>
    </w:p>
    <w:p w14:paraId="59695F13">
      <w:pPr>
        <w:spacing w:line="360" w:lineRule="auto"/>
        <w:rPr>
          <w:rFonts w:hint="eastAsia" w:ascii="宋体" w:hAnsi="宋体" w:cs="宋体"/>
          <w:b/>
          <w:bCs/>
          <w:sz w:val="24"/>
          <w:szCs w:val="24"/>
        </w:rPr>
      </w:pPr>
      <w:r>
        <w:rPr>
          <w:rFonts w:hint="eastAsia" w:ascii="宋体" w:hAnsi="宋体" w:cs="宋体"/>
          <w:b/>
          <w:bCs/>
          <w:sz w:val="24"/>
          <w:szCs w:val="24"/>
        </w:rPr>
        <w:t>八、安全文明施工与环境保护</w:t>
      </w:r>
    </w:p>
    <w:p w14:paraId="101105A9">
      <w:pPr>
        <w:spacing w:line="360" w:lineRule="auto"/>
        <w:ind w:firstLine="480" w:firstLineChars="200"/>
        <w:rPr>
          <w:rFonts w:hint="eastAsia" w:ascii="宋体" w:hAnsi="宋体" w:cs="宋体"/>
          <w:sz w:val="24"/>
          <w:szCs w:val="24"/>
        </w:rPr>
      </w:pPr>
      <w:r>
        <w:rPr>
          <w:rFonts w:hint="eastAsia" w:ascii="宋体" w:hAnsi="宋体" w:cs="宋体"/>
          <w:sz w:val="24"/>
          <w:szCs w:val="24"/>
        </w:rPr>
        <w:t>承包人应遵守工程建设安全生产有关管理规定，严格按现行安全标准组织施</w:t>
      </w:r>
    </w:p>
    <w:p w14:paraId="65E79DD5">
      <w:pPr>
        <w:spacing w:line="360" w:lineRule="auto"/>
        <w:rPr>
          <w:rFonts w:hint="eastAsia" w:ascii="宋体" w:hAnsi="宋体" w:cs="宋体"/>
          <w:sz w:val="24"/>
          <w:szCs w:val="24"/>
        </w:rPr>
      </w:pPr>
      <w:r>
        <w:rPr>
          <w:rFonts w:hint="eastAsia" w:ascii="宋体" w:hAnsi="宋体" w:cs="宋体"/>
          <w:sz w:val="24"/>
          <w:szCs w:val="24"/>
        </w:rPr>
        <w:t>工，并随时接受行业安全检查人员依法实施的监督检查，采取必要的安全防护措 施，消除事故隐患。其安全施工防护费用已经含在合同价款内。</w:t>
      </w:r>
    </w:p>
    <w:p w14:paraId="784047EA">
      <w:pPr>
        <w:spacing w:line="360" w:lineRule="auto"/>
        <w:ind w:firstLine="480" w:firstLineChars="200"/>
        <w:rPr>
          <w:rFonts w:hint="eastAsia" w:ascii="宋体" w:hAnsi="宋体" w:cs="宋体"/>
          <w:sz w:val="24"/>
          <w:szCs w:val="24"/>
        </w:rPr>
      </w:pPr>
      <w:r>
        <w:rPr>
          <w:rFonts w:hint="eastAsia" w:ascii="宋体" w:hAnsi="宋体" w:cs="宋体"/>
          <w:sz w:val="24"/>
          <w:szCs w:val="24"/>
        </w:rPr>
        <w:t>关于编制施工场地治安管理计划的约定：</w:t>
      </w:r>
      <w:r>
        <w:rPr>
          <w:rFonts w:hint="eastAsia" w:ascii="宋体" w:hAnsi="宋体" w:cs="宋体"/>
          <w:sz w:val="24"/>
          <w:szCs w:val="24"/>
          <w:u w:val="single"/>
        </w:rPr>
        <w:t>由承包人编制，开工前提供</w:t>
      </w:r>
      <w:r>
        <w:rPr>
          <w:rFonts w:hint="eastAsia" w:ascii="宋体" w:hAnsi="宋体" w:cs="宋体"/>
          <w:sz w:val="24"/>
          <w:szCs w:val="24"/>
        </w:rPr>
        <w:t>。 合同当事人对文明施工的要求：</w:t>
      </w:r>
      <w:r>
        <w:rPr>
          <w:rFonts w:hint="eastAsia" w:ascii="宋体" w:hAnsi="宋体" w:cs="宋体"/>
          <w:sz w:val="24"/>
          <w:szCs w:val="24"/>
          <w:u w:val="single"/>
        </w:rPr>
        <w:t>满足陕西省对文明工地的要求。</w:t>
      </w:r>
    </w:p>
    <w:p w14:paraId="770D3FDA">
      <w:pPr>
        <w:spacing w:line="360" w:lineRule="auto"/>
        <w:rPr>
          <w:rFonts w:hint="eastAsia" w:ascii="宋体" w:hAnsi="宋体" w:cs="宋体"/>
          <w:b/>
          <w:bCs/>
          <w:sz w:val="24"/>
          <w:szCs w:val="24"/>
        </w:rPr>
      </w:pPr>
      <w:r>
        <w:rPr>
          <w:rFonts w:hint="eastAsia" w:ascii="宋体" w:hAnsi="宋体" w:cs="宋体"/>
          <w:b/>
          <w:bCs/>
          <w:sz w:val="24"/>
          <w:szCs w:val="24"/>
        </w:rPr>
        <w:t>九、工程验收</w:t>
      </w:r>
    </w:p>
    <w:p w14:paraId="33DA6D32">
      <w:pPr>
        <w:spacing w:line="360" w:lineRule="auto"/>
        <w:ind w:firstLine="480" w:firstLineChars="200"/>
        <w:rPr>
          <w:rFonts w:hint="eastAsia" w:ascii="宋体" w:hAnsi="宋体" w:cs="宋体"/>
          <w:sz w:val="24"/>
          <w:szCs w:val="24"/>
        </w:rPr>
      </w:pPr>
      <w:r>
        <w:rPr>
          <w:rFonts w:hint="eastAsia" w:ascii="宋体" w:hAnsi="宋体" w:cs="宋体"/>
          <w:sz w:val="24"/>
          <w:szCs w:val="24"/>
        </w:rPr>
        <w:t>1.工程竣工验收。以国家颁发的《关于基本建设项目竣工验收暂行规定》、《工程施工及验收规范》等文件及施工技术文件为依据组织总体验收。</w:t>
      </w:r>
    </w:p>
    <w:p w14:paraId="7F123B4F">
      <w:pPr>
        <w:spacing w:line="360" w:lineRule="auto"/>
        <w:ind w:firstLine="480" w:firstLineChars="200"/>
        <w:rPr>
          <w:rFonts w:hint="eastAsia" w:ascii="宋体" w:hAnsi="宋体" w:cs="宋体"/>
          <w:sz w:val="24"/>
          <w:szCs w:val="24"/>
        </w:rPr>
      </w:pPr>
      <w:r>
        <w:rPr>
          <w:rFonts w:hint="eastAsia" w:ascii="宋体" w:hAnsi="宋体" w:cs="宋体"/>
          <w:sz w:val="24"/>
          <w:szCs w:val="24"/>
        </w:rPr>
        <w:t xml:space="preserve">2.施工材料到达现场后由发包人、承包人共同验收，验收合格后方能使用。 </w:t>
      </w:r>
    </w:p>
    <w:p w14:paraId="55627BC6">
      <w:pPr>
        <w:spacing w:line="360" w:lineRule="auto"/>
        <w:ind w:firstLine="480" w:firstLineChars="200"/>
        <w:rPr>
          <w:rFonts w:hint="eastAsia" w:ascii="宋体" w:hAnsi="宋体" w:cs="宋体"/>
          <w:sz w:val="24"/>
          <w:szCs w:val="24"/>
        </w:rPr>
      </w:pPr>
      <w:r>
        <w:rPr>
          <w:rFonts w:hint="eastAsia" w:ascii="宋体" w:hAnsi="宋体" w:cs="宋体"/>
          <w:sz w:val="24"/>
          <w:szCs w:val="24"/>
        </w:rPr>
        <w:t>3.项目验收：由甲方组织相关职能部门验收。</w:t>
      </w:r>
    </w:p>
    <w:p w14:paraId="11696740">
      <w:pPr>
        <w:spacing w:line="360" w:lineRule="auto"/>
        <w:rPr>
          <w:rFonts w:hint="eastAsia" w:ascii="宋体" w:hAnsi="宋体" w:cs="宋体"/>
          <w:b/>
          <w:bCs/>
          <w:sz w:val="24"/>
          <w:szCs w:val="24"/>
        </w:rPr>
      </w:pPr>
      <w:r>
        <w:rPr>
          <w:rFonts w:hint="eastAsia" w:ascii="宋体" w:hAnsi="宋体" w:cs="宋体"/>
          <w:b/>
          <w:bCs/>
          <w:sz w:val="24"/>
          <w:szCs w:val="24"/>
        </w:rPr>
        <w:t>十、质量保修期与保修</w:t>
      </w:r>
    </w:p>
    <w:p w14:paraId="0D9170C7">
      <w:pPr>
        <w:spacing w:line="360" w:lineRule="auto"/>
        <w:ind w:firstLine="480" w:firstLineChars="200"/>
        <w:rPr>
          <w:rFonts w:hint="eastAsia" w:ascii="宋体" w:hAnsi="宋体" w:cs="宋体"/>
          <w:sz w:val="24"/>
          <w:szCs w:val="24"/>
        </w:rPr>
      </w:pPr>
      <w:r>
        <w:rPr>
          <w:rFonts w:hint="eastAsia" w:ascii="宋体" w:hAnsi="宋体" w:cs="宋体"/>
          <w:sz w:val="24"/>
          <w:szCs w:val="24"/>
        </w:rPr>
        <w:t>1.质量保修期</w:t>
      </w:r>
    </w:p>
    <w:p w14:paraId="1AD801DE">
      <w:pPr>
        <w:spacing w:line="360" w:lineRule="auto"/>
        <w:ind w:firstLine="480" w:firstLineChars="200"/>
        <w:rPr>
          <w:rFonts w:hint="eastAsia" w:ascii="宋体" w:hAnsi="宋体" w:cs="宋体"/>
          <w:sz w:val="24"/>
          <w:szCs w:val="24"/>
        </w:rPr>
      </w:pPr>
      <w:r>
        <w:rPr>
          <w:rFonts w:hint="eastAsia" w:ascii="宋体" w:hAnsi="宋体" w:cs="宋体"/>
          <w:sz w:val="24"/>
          <w:szCs w:val="24"/>
        </w:rPr>
        <w:t>质量保修期的具体期限：本项目质量保修期为 24 个月；</w:t>
      </w:r>
    </w:p>
    <w:p w14:paraId="0F3D4D89">
      <w:pPr>
        <w:spacing w:line="360" w:lineRule="auto"/>
        <w:ind w:firstLine="480" w:firstLineChars="200"/>
        <w:rPr>
          <w:rFonts w:hint="eastAsia" w:ascii="宋体" w:hAnsi="宋体" w:cs="宋体"/>
          <w:sz w:val="24"/>
          <w:szCs w:val="24"/>
        </w:rPr>
      </w:pPr>
      <w:r>
        <w:rPr>
          <w:rFonts w:hint="eastAsia" w:ascii="宋体" w:hAnsi="宋体" w:cs="宋体"/>
          <w:sz w:val="24"/>
          <w:szCs w:val="24"/>
        </w:rPr>
        <w:t>2.保修责任</w:t>
      </w:r>
    </w:p>
    <w:p w14:paraId="50712B22">
      <w:pPr>
        <w:spacing w:line="360" w:lineRule="auto"/>
        <w:ind w:firstLine="480" w:firstLineChars="200"/>
        <w:rPr>
          <w:rFonts w:hint="eastAsia" w:ascii="宋体" w:hAnsi="宋体" w:cs="宋体"/>
          <w:sz w:val="24"/>
          <w:szCs w:val="24"/>
        </w:rPr>
      </w:pPr>
      <w:r>
        <w:rPr>
          <w:rFonts w:hint="eastAsia" w:ascii="宋体" w:hAnsi="宋体" w:cs="宋体"/>
          <w:sz w:val="24"/>
          <w:szCs w:val="24"/>
        </w:rPr>
        <w:t>质量保修期为：自工程竣工验收合格之日进入质量保修期，质量保修期2年。</w:t>
      </w:r>
    </w:p>
    <w:p w14:paraId="5720BE75">
      <w:pPr>
        <w:spacing w:line="360" w:lineRule="auto"/>
        <w:ind w:firstLine="480" w:firstLineChars="200"/>
        <w:rPr>
          <w:rFonts w:hint="eastAsia" w:ascii="宋体" w:hAnsi="宋体" w:cs="宋体"/>
          <w:sz w:val="24"/>
          <w:szCs w:val="24"/>
        </w:rPr>
      </w:pPr>
      <w:r>
        <w:rPr>
          <w:rFonts w:hint="eastAsia" w:ascii="宋体" w:hAnsi="宋体" w:cs="宋体"/>
          <w:sz w:val="24"/>
          <w:szCs w:val="24"/>
        </w:rPr>
        <w:t>3. 修复通知</w:t>
      </w:r>
    </w:p>
    <w:p w14:paraId="6E7AAFC8">
      <w:pPr>
        <w:spacing w:line="360" w:lineRule="auto"/>
        <w:ind w:firstLine="480" w:firstLineChars="200"/>
        <w:rPr>
          <w:rFonts w:hint="eastAsia" w:ascii="宋体" w:hAnsi="宋体" w:cs="宋体"/>
          <w:sz w:val="24"/>
          <w:szCs w:val="24"/>
        </w:rPr>
      </w:pPr>
      <w:r>
        <w:rPr>
          <w:rFonts w:hint="eastAsia" w:ascii="宋体" w:hAnsi="宋体" w:cs="宋体"/>
          <w:sz w:val="24"/>
          <w:szCs w:val="24"/>
        </w:rPr>
        <w:t>承包人收到保修通知并到达工程现场的合理时间：响应时间为正常工作日二 小时内答复，十二小时内到现场处理。节假日及法定休息日六小时内答复，二十 四小时内到现场处理。</w:t>
      </w:r>
    </w:p>
    <w:p w14:paraId="22C8A924">
      <w:pPr>
        <w:spacing w:line="360" w:lineRule="auto"/>
        <w:rPr>
          <w:rFonts w:hint="eastAsia" w:ascii="宋体" w:hAnsi="宋体" w:cs="宋体"/>
          <w:b/>
          <w:bCs/>
          <w:sz w:val="24"/>
          <w:szCs w:val="24"/>
        </w:rPr>
      </w:pPr>
      <w:r>
        <w:rPr>
          <w:rFonts w:hint="eastAsia" w:ascii="宋体" w:hAnsi="宋体" w:cs="宋体"/>
          <w:b/>
          <w:bCs/>
          <w:sz w:val="24"/>
          <w:szCs w:val="24"/>
        </w:rPr>
        <w:t>十一、违约责任</w:t>
      </w:r>
    </w:p>
    <w:p w14:paraId="0710AEB6">
      <w:pPr>
        <w:spacing w:line="360" w:lineRule="auto"/>
        <w:ind w:firstLine="480" w:firstLineChars="200"/>
        <w:rPr>
          <w:rFonts w:hint="eastAsia" w:ascii="宋体" w:hAnsi="宋体" w:cs="宋体"/>
          <w:sz w:val="24"/>
          <w:szCs w:val="24"/>
        </w:rPr>
      </w:pPr>
      <w:r>
        <w:rPr>
          <w:rFonts w:hint="eastAsia" w:ascii="宋体" w:hAnsi="宋体" w:cs="宋体"/>
          <w:sz w:val="24"/>
          <w:szCs w:val="24"/>
        </w:rPr>
        <w:t>1、发包人违约</w:t>
      </w:r>
    </w:p>
    <w:p w14:paraId="315937A6">
      <w:pPr>
        <w:spacing w:line="360" w:lineRule="auto"/>
        <w:ind w:firstLine="480" w:firstLineChars="200"/>
        <w:rPr>
          <w:rFonts w:hint="eastAsia" w:ascii="宋体" w:hAnsi="宋体" w:cs="宋体"/>
          <w:sz w:val="24"/>
          <w:szCs w:val="24"/>
        </w:rPr>
      </w:pPr>
      <w:r>
        <w:rPr>
          <w:rFonts w:hint="eastAsia" w:ascii="宋体" w:hAnsi="宋体" w:cs="宋体"/>
          <w:sz w:val="24"/>
          <w:szCs w:val="24"/>
        </w:rPr>
        <w:t>(1)因发包人原因未能按合同约定支付合同价款的违约责任双方另行协商。</w:t>
      </w:r>
    </w:p>
    <w:p w14:paraId="24B4E12F">
      <w:pPr>
        <w:spacing w:line="360" w:lineRule="auto"/>
        <w:ind w:firstLine="480" w:firstLineChars="200"/>
        <w:rPr>
          <w:rFonts w:hint="eastAsia" w:ascii="宋体" w:hAnsi="宋体" w:cs="宋体"/>
          <w:sz w:val="24"/>
          <w:szCs w:val="24"/>
        </w:rPr>
      </w:pPr>
      <w:r>
        <w:rPr>
          <w:rFonts w:hint="eastAsia" w:ascii="宋体" w:hAnsi="宋体" w:cs="宋体"/>
          <w:sz w:val="24"/>
          <w:szCs w:val="24"/>
        </w:rPr>
        <w:t>(2) 因发包人违反合同约定造成暂停施工的违约责任：若影响工期的，工</w:t>
      </w:r>
    </w:p>
    <w:p w14:paraId="545C7A8F">
      <w:pPr>
        <w:spacing w:line="360" w:lineRule="auto"/>
        <w:rPr>
          <w:rFonts w:hint="eastAsia" w:ascii="宋体" w:hAnsi="宋体" w:cs="宋体"/>
          <w:sz w:val="24"/>
          <w:szCs w:val="24"/>
        </w:rPr>
      </w:pPr>
      <w:r>
        <w:rPr>
          <w:rFonts w:hint="eastAsia" w:ascii="宋体" w:hAnsi="宋体" w:cs="宋体"/>
          <w:sz w:val="24"/>
          <w:szCs w:val="24"/>
        </w:rPr>
        <w:t>期予以顺延。</w:t>
      </w:r>
    </w:p>
    <w:p w14:paraId="1DC647F2">
      <w:pPr>
        <w:spacing w:line="360" w:lineRule="auto"/>
        <w:ind w:firstLine="480" w:firstLineChars="200"/>
        <w:rPr>
          <w:rFonts w:hint="eastAsia" w:ascii="宋体" w:hAnsi="宋体" w:cs="宋体"/>
          <w:sz w:val="24"/>
          <w:szCs w:val="24"/>
        </w:rPr>
      </w:pPr>
      <w:r>
        <w:rPr>
          <w:rFonts w:hint="eastAsia" w:ascii="宋体" w:hAnsi="宋体" w:cs="宋体"/>
          <w:sz w:val="24"/>
          <w:szCs w:val="24"/>
        </w:rPr>
        <w:t>(3) 发包人无正当理由没有在约定期限内发出复工指示，导致承包人无法 复工的违约责任：若影响工期的，工期予以顺延。</w:t>
      </w:r>
    </w:p>
    <w:p w14:paraId="31407E47">
      <w:pPr>
        <w:spacing w:line="360" w:lineRule="auto"/>
        <w:ind w:firstLine="480" w:firstLineChars="200"/>
        <w:rPr>
          <w:rFonts w:hint="eastAsia" w:ascii="宋体" w:hAnsi="宋体" w:cs="宋体"/>
          <w:sz w:val="24"/>
          <w:szCs w:val="24"/>
        </w:rPr>
      </w:pPr>
      <w:r>
        <w:rPr>
          <w:rFonts w:hint="eastAsia" w:ascii="宋体" w:hAnsi="宋体" w:cs="宋体"/>
          <w:sz w:val="24"/>
          <w:szCs w:val="24"/>
        </w:rPr>
        <w:t>(4) 其他：双方协商解决。</w:t>
      </w:r>
    </w:p>
    <w:p w14:paraId="3C7FE1DD">
      <w:pPr>
        <w:spacing w:line="360" w:lineRule="auto"/>
        <w:ind w:firstLine="480" w:firstLineChars="200"/>
        <w:rPr>
          <w:rFonts w:hint="eastAsia" w:ascii="宋体" w:hAnsi="宋体" w:cs="宋体"/>
          <w:sz w:val="24"/>
          <w:szCs w:val="24"/>
        </w:rPr>
      </w:pPr>
      <w:r>
        <w:rPr>
          <w:rFonts w:hint="eastAsia" w:ascii="宋体" w:hAnsi="宋体" w:cs="宋体"/>
          <w:sz w:val="24"/>
          <w:szCs w:val="24"/>
        </w:rPr>
        <w:t>2、承包人违约</w:t>
      </w:r>
    </w:p>
    <w:p w14:paraId="5710FD92">
      <w:pPr>
        <w:spacing w:line="360" w:lineRule="auto"/>
        <w:ind w:firstLine="480" w:firstLineChars="200"/>
        <w:rPr>
          <w:rFonts w:hint="eastAsia" w:ascii="宋体" w:hAnsi="宋体" w:cs="宋体"/>
          <w:sz w:val="24"/>
          <w:szCs w:val="24"/>
        </w:rPr>
      </w:pPr>
      <w:r>
        <w:rPr>
          <w:rFonts w:hint="eastAsia" w:ascii="宋体" w:hAnsi="宋体" w:cs="宋体"/>
          <w:sz w:val="24"/>
          <w:szCs w:val="24"/>
        </w:rPr>
        <w:t>(1) 承包人不得更换经发包人认定的项目经理。承包人擅自更换项目经理， 应按</w:t>
      </w:r>
      <w:r>
        <w:rPr>
          <w:rFonts w:hint="eastAsia" w:ascii="宋体" w:hAnsi="宋体" w:cs="宋体"/>
          <w:sz w:val="24"/>
          <w:szCs w:val="24"/>
          <w:u w:val="single"/>
        </w:rPr>
        <w:t xml:space="preserve"> 1 </w:t>
      </w:r>
      <w:r>
        <w:rPr>
          <w:rFonts w:hint="eastAsia" w:ascii="宋体" w:hAnsi="宋体" w:cs="宋体"/>
          <w:sz w:val="24"/>
          <w:szCs w:val="24"/>
        </w:rPr>
        <w:t>万元/人/次的标准向发包人支付违约金。如需要更换项目技术负责人及 其它专业工程师，应至少提前 15 天以书面形式通知发包人，并征得发包人同意； 后任继续行使合同文件约定的前任的职权，履行前任的义务。</w:t>
      </w:r>
    </w:p>
    <w:p w14:paraId="1AD302CE">
      <w:pPr>
        <w:spacing w:line="360" w:lineRule="auto"/>
        <w:ind w:firstLine="480" w:firstLineChars="200"/>
        <w:rPr>
          <w:rFonts w:hint="eastAsia" w:ascii="宋体" w:hAnsi="宋体" w:cs="宋体"/>
          <w:sz w:val="24"/>
          <w:szCs w:val="24"/>
        </w:rPr>
      </w:pPr>
      <w:r>
        <w:rPr>
          <w:rFonts w:hint="eastAsia" w:ascii="宋体" w:hAnsi="宋体" w:cs="宋体"/>
          <w:sz w:val="24"/>
          <w:szCs w:val="24"/>
        </w:rPr>
        <w:t>(2) 承包人项目经理和技术负责人无特殊情况每月坚守工地时间不得少于</w:t>
      </w:r>
      <w:r>
        <w:rPr>
          <w:rFonts w:hint="eastAsia" w:ascii="宋体" w:hAnsi="宋体" w:cs="宋体"/>
          <w:sz w:val="24"/>
          <w:szCs w:val="24"/>
          <w:u w:val="single"/>
        </w:rPr>
        <w:t xml:space="preserve">22 </w:t>
      </w:r>
      <w:r>
        <w:rPr>
          <w:rFonts w:hint="eastAsia" w:ascii="宋体" w:hAnsi="宋体" w:cs="宋体"/>
          <w:sz w:val="24"/>
          <w:szCs w:val="24"/>
        </w:rPr>
        <w:t>天，项目经理在工程施工期间，要暂时离开工地现场</w:t>
      </w:r>
      <w:r>
        <w:rPr>
          <w:rFonts w:hint="eastAsia" w:ascii="宋体" w:hAnsi="宋体" w:cs="宋体"/>
          <w:sz w:val="24"/>
          <w:szCs w:val="24"/>
          <w:u w:val="single"/>
        </w:rPr>
        <w:t xml:space="preserve"> 2 </w:t>
      </w:r>
      <w:r>
        <w:rPr>
          <w:rFonts w:hint="eastAsia" w:ascii="宋体" w:hAnsi="宋体" w:cs="宋体"/>
          <w:sz w:val="24"/>
          <w:szCs w:val="24"/>
        </w:rPr>
        <w:t>天以上，应事先征得 工程师的同意。项目经理每次请假时间不超过</w:t>
      </w:r>
      <w:r>
        <w:rPr>
          <w:rFonts w:hint="eastAsia" w:ascii="宋体" w:hAnsi="宋体" w:cs="宋体"/>
          <w:sz w:val="24"/>
          <w:szCs w:val="24"/>
          <w:u w:val="single"/>
        </w:rPr>
        <w:t xml:space="preserve"> 7 </w:t>
      </w:r>
      <w:r>
        <w:rPr>
          <w:rFonts w:hint="eastAsia" w:ascii="宋体" w:hAnsi="宋体" w:cs="宋体"/>
          <w:sz w:val="24"/>
          <w:szCs w:val="24"/>
        </w:rPr>
        <w:t>天，一年累计离场时间不得超过</w:t>
      </w:r>
      <w:r>
        <w:rPr>
          <w:rFonts w:hint="eastAsia" w:ascii="宋体" w:hAnsi="宋体" w:cs="宋体"/>
          <w:sz w:val="24"/>
          <w:szCs w:val="24"/>
          <w:u w:val="single"/>
        </w:rPr>
        <w:t xml:space="preserve"> 30 </w:t>
      </w:r>
      <w:r>
        <w:rPr>
          <w:rFonts w:hint="eastAsia" w:ascii="宋体" w:hAnsi="宋体" w:cs="宋体"/>
          <w:sz w:val="24"/>
          <w:szCs w:val="24"/>
        </w:rPr>
        <w:t xml:space="preserve">天。随意离开工地，承包人向发包人支付 </w:t>
      </w:r>
      <w:r>
        <w:rPr>
          <w:rFonts w:hint="eastAsia" w:ascii="宋体" w:hAnsi="宋体" w:cs="宋体"/>
          <w:sz w:val="24"/>
          <w:szCs w:val="24"/>
          <w:u w:val="single"/>
        </w:rPr>
        <w:t xml:space="preserve">2000 </w:t>
      </w:r>
      <w:r>
        <w:rPr>
          <w:rFonts w:hint="eastAsia" w:ascii="宋体" w:hAnsi="宋体" w:cs="宋体"/>
          <w:sz w:val="24"/>
          <w:szCs w:val="24"/>
        </w:rPr>
        <w:t>元/天的违约金。项目经理和技术负责人需要离开工地时必须提前一天书面向发包人请假，获批准后方可离开工地，否则按缺勤处理。</w:t>
      </w:r>
    </w:p>
    <w:p w14:paraId="17DDCA0D">
      <w:pPr>
        <w:spacing w:line="360" w:lineRule="auto"/>
        <w:ind w:firstLine="480" w:firstLineChars="200"/>
        <w:rPr>
          <w:rFonts w:hint="eastAsia" w:ascii="宋体" w:hAnsi="宋体" w:cs="宋体"/>
          <w:sz w:val="24"/>
          <w:szCs w:val="24"/>
        </w:rPr>
      </w:pPr>
      <w:r>
        <w:rPr>
          <w:rFonts w:hint="eastAsia" w:ascii="宋体" w:hAnsi="宋体" w:cs="宋体"/>
          <w:sz w:val="24"/>
          <w:szCs w:val="24"/>
        </w:rPr>
        <w:t>(3) 项目经理不胜任本职工作，发包人和工程师可提前</w:t>
      </w:r>
      <w:r>
        <w:rPr>
          <w:rFonts w:hint="eastAsia" w:ascii="宋体" w:hAnsi="宋体" w:cs="宋体"/>
          <w:sz w:val="24"/>
          <w:szCs w:val="24"/>
          <w:u w:val="single"/>
        </w:rPr>
        <w:t xml:space="preserve"> 7 </w:t>
      </w:r>
      <w:r>
        <w:rPr>
          <w:rFonts w:hint="eastAsia" w:ascii="宋体" w:hAnsi="宋体" w:cs="宋体"/>
          <w:sz w:val="24"/>
          <w:szCs w:val="24"/>
        </w:rPr>
        <w:t>天以书面形式通 知承包人更换合格的项目经理，如更换后的项目经理仍旧不能胜任本职工作，发 包人有解除合同的权利。项目技术负责人及其他专业工程师不称职，发包人和工 程师也可提前</w:t>
      </w:r>
      <w:r>
        <w:rPr>
          <w:rFonts w:hint="eastAsia" w:ascii="宋体" w:hAnsi="宋体" w:cs="宋体"/>
          <w:sz w:val="24"/>
          <w:szCs w:val="24"/>
          <w:u w:val="single"/>
        </w:rPr>
        <w:t xml:space="preserve"> 5 </w:t>
      </w:r>
      <w:r>
        <w:rPr>
          <w:rFonts w:hint="eastAsia" w:ascii="宋体" w:hAnsi="宋体" w:cs="宋体"/>
          <w:sz w:val="24"/>
          <w:szCs w:val="24"/>
        </w:rPr>
        <w:t>天以书面形式通知承包人更换合格的人员。上述人员更换，承包人应在</w:t>
      </w:r>
      <w:r>
        <w:rPr>
          <w:rFonts w:hint="eastAsia" w:ascii="宋体" w:hAnsi="宋体" w:cs="宋体"/>
          <w:sz w:val="24"/>
          <w:szCs w:val="24"/>
          <w:u w:val="single"/>
        </w:rPr>
        <w:t xml:space="preserve"> 3 </w:t>
      </w:r>
      <w:r>
        <w:rPr>
          <w:rFonts w:hint="eastAsia" w:ascii="宋体" w:hAnsi="宋体" w:cs="宋体"/>
          <w:sz w:val="24"/>
          <w:szCs w:val="24"/>
        </w:rPr>
        <w:t>日内更换完毕。</w:t>
      </w:r>
    </w:p>
    <w:p w14:paraId="43442DD9">
      <w:pPr>
        <w:spacing w:line="360" w:lineRule="auto"/>
        <w:ind w:firstLine="480" w:firstLineChars="200"/>
        <w:rPr>
          <w:rFonts w:hint="eastAsia" w:ascii="宋体" w:hAnsi="宋体" w:cs="宋体"/>
          <w:sz w:val="24"/>
          <w:szCs w:val="24"/>
        </w:rPr>
      </w:pPr>
      <w:r>
        <w:rPr>
          <w:rFonts w:hint="eastAsia" w:ascii="宋体" w:hAnsi="宋体" w:cs="宋体"/>
          <w:sz w:val="24"/>
          <w:szCs w:val="24"/>
        </w:rPr>
        <w:t>(4) 承包人主要机械设备未能按工程计划及时到场或到场设备不能正常运 转以及擅自调走已进场的机械设备，应按</w:t>
      </w:r>
      <w:r>
        <w:rPr>
          <w:rFonts w:hint="eastAsia" w:ascii="宋体" w:hAnsi="宋体" w:cs="宋体"/>
          <w:sz w:val="24"/>
          <w:szCs w:val="24"/>
          <w:u w:val="single"/>
        </w:rPr>
        <w:t xml:space="preserve"> 200 </w:t>
      </w:r>
      <w:r>
        <w:rPr>
          <w:rFonts w:hint="eastAsia" w:ascii="宋体" w:hAnsi="宋体" w:cs="宋体"/>
          <w:sz w:val="24"/>
          <w:szCs w:val="24"/>
        </w:rPr>
        <w:t>元/天/台(套)标准向发包人支付违约金；迟到或调离超过</w:t>
      </w:r>
      <w:r>
        <w:rPr>
          <w:rFonts w:hint="eastAsia" w:ascii="宋体" w:hAnsi="宋体" w:cs="宋体"/>
          <w:sz w:val="24"/>
          <w:szCs w:val="24"/>
          <w:u w:val="single"/>
        </w:rPr>
        <w:t xml:space="preserve"> 10 </w:t>
      </w:r>
      <w:r>
        <w:rPr>
          <w:rFonts w:hint="eastAsia" w:ascii="宋体" w:hAnsi="宋体" w:cs="宋体"/>
          <w:sz w:val="24"/>
          <w:szCs w:val="24"/>
        </w:rPr>
        <w:t>天时，发包人可自行组织采购，费用直接在向承包人支付工程款时予以扣除，同时对到场时限的延迟仍旧计算违约金</w:t>
      </w:r>
    </w:p>
    <w:p w14:paraId="54EAC856">
      <w:pPr>
        <w:spacing w:line="360" w:lineRule="auto"/>
        <w:ind w:firstLine="480" w:firstLineChars="200"/>
        <w:rPr>
          <w:rFonts w:hint="eastAsia" w:ascii="宋体" w:hAnsi="宋体" w:cs="宋体"/>
          <w:sz w:val="24"/>
          <w:szCs w:val="24"/>
        </w:rPr>
      </w:pPr>
      <w:r>
        <w:rPr>
          <w:rFonts w:hint="eastAsia" w:ascii="宋体" w:hAnsi="宋体" w:cs="宋体"/>
          <w:sz w:val="24"/>
          <w:szCs w:val="24"/>
        </w:rPr>
        <w:t>(5) 同时出现以下问题：</w:t>
      </w:r>
    </w:p>
    <w:p w14:paraId="00F3F91D">
      <w:pPr>
        <w:spacing w:line="360" w:lineRule="auto"/>
        <w:ind w:firstLine="480" w:firstLineChars="200"/>
        <w:rPr>
          <w:rFonts w:hint="eastAsia" w:ascii="宋体" w:hAnsi="宋体" w:cs="宋体"/>
          <w:sz w:val="24"/>
          <w:szCs w:val="24"/>
        </w:rPr>
      </w:pPr>
      <w:r>
        <w:rPr>
          <w:rFonts w:hint="eastAsia" w:ascii="宋体" w:hAnsi="宋体" w:cs="宋体"/>
          <w:sz w:val="24"/>
          <w:szCs w:val="24"/>
        </w:rPr>
        <w:t xml:space="preserve">a.出现重大质量问题，经发包人提出，没有采取有效措施进行补救。 </w:t>
      </w:r>
    </w:p>
    <w:p w14:paraId="45DEC406">
      <w:pPr>
        <w:spacing w:line="360" w:lineRule="auto"/>
        <w:ind w:firstLine="480" w:firstLineChars="200"/>
        <w:rPr>
          <w:rFonts w:hint="eastAsia" w:ascii="宋体" w:hAnsi="宋体" w:cs="宋体"/>
          <w:sz w:val="24"/>
          <w:szCs w:val="24"/>
        </w:rPr>
      </w:pPr>
      <w:r>
        <w:rPr>
          <w:rFonts w:hint="eastAsia" w:ascii="宋体" w:hAnsi="宋体" w:cs="宋体"/>
          <w:sz w:val="24"/>
          <w:szCs w:val="24"/>
        </w:rPr>
        <w:t>b.被建设行政主管部门因为质量问题通报两次者。</w:t>
      </w:r>
    </w:p>
    <w:p w14:paraId="19C2FD08">
      <w:pPr>
        <w:spacing w:line="360" w:lineRule="auto"/>
        <w:ind w:firstLine="480" w:firstLineChars="200"/>
        <w:rPr>
          <w:rFonts w:hint="eastAsia" w:ascii="宋体" w:hAnsi="宋体" w:cs="宋体"/>
          <w:sz w:val="24"/>
          <w:szCs w:val="24"/>
        </w:rPr>
      </w:pPr>
      <w:r>
        <w:rPr>
          <w:rFonts w:hint="eastAsia" w:ascii="宋体" w:hAnsi="宋体" w:cs="宋体"/>
          <w:sz w:val="24"/>
          <w:szCs w:val="24"/>
        </w:rPr>
        <w:t xml:space="preserve">c.出现重大安全隐患，经发包人提出，在限期内没有得到整改。 </w:t>
      </w:r>
    </w:p>
    <w:p w14:paraId="30D4E135">
      <w:pPr>
        <w:spacing w:line="360" w:lineRule="auto"/>
        <w:ind w:firstLine="480" w:firstLineChars="200"/>
        <w:rPr>
          <w:rFonts w:hint="eastAsia" w:ascii="宋体" w:hAnsi="宋体" w:cs="宋体"/>
          <w:sz w:val="24"/>
          <w:szCs w:val="24"/>
        </w:rPr>
      </w:pPr>
      <w:r>
        <w:rPr>
          <w:rFonts w:hint="eastAsia" w:ascii="宋体" w:hAnsi="宋体" w:cs="宋体"/>
          <w:sz w:val="24"/>
          <w:szCs w:val="24"/>
        </w:rPr>
        <w:t>d.被建设行政主管部门因为安全问题通报两次者。</w:t>
      </w:r>
    </w:p>
    <w:p w14:paraId="09924819">
      <w:pPr>
        <w:spacing w:line="360" w:lineRule="auto"/>
        <w:ind w:firstLine="480" w:firstLineChars="200"/>
        <w:rPr>
          <w:rFonts w:hint="eastAsia" w:ascii="宋体" w:hAnsi="宋体" w:cs="宋体"/>
          <w:sz w:val="24"/>
          <w:szCs w:val="24"/>
        </w:rPr>
      </w:pPr>
      <w:r>
        <w:rPr>
          <w:rFonts w:hint="eastAsia" w:ascii="宋体" w:hAnsi="宋体" w:cs="宋体"/>
          <w:sz w:val="24"/>
          <w:szCs w:val="24"/>
        </w:rPr>
        <w:t>e.或发生其它使合同无法履行的行为。发包人可单方解除合同。</w:t>
      </w:r>
    </w:p>
    <w:p w14:paraId="3BBCEF05">
      <w:pPr>
        <w:spacing w:line="360" w:lineRule="auto"/>
        <w:ind w:firstLine="480" w:firstLineChars="200"/>
        <w:rPr>
          <w:rFonts w:hint="eastAsia" w:ascii="宋体" w:hAnsi="宋体" w:cs="宋体"/>
          <w:sz w:val="24"/>
          <w:szCs w:val="24"/>
        </w:rPr>
      </w:pPr>
      <w:r>
        <w:rPr>
          <w:rFonts w:hint="eastAsia" w:ascii="宋体" w:hAnsi="宋体" w:cs="宋体"/>
          <w:sz w:val="24"/>
          <w:szCs w:val="24"/>
        </w:rPr>
        <w:t>因以上原因终止施工合同，承包人应支付合同价款 3%的违约金，另由于终 止合同对发包人造成的损失由承包人承担。</w:t>
      </w:r>
    </w:p>
    <w:p w14:paraId="78CFC4A5">
      <w:pPr>
        <w:spacing w:line="360" w:lineRule="auto"/>
        <w:rPr>
          <w:rFonts w:hint="eastAsia" w:ascii="宋体" w:hAnsi="宋体" w:cs="宋体"/>
          <w:b/>
          <w:bCs/>
          <w:sz w:val="24"/>
          <w:szCs w:val="24"/>
        </w:rPr>
      </w:pPr>
      <w:r>
        <w:rPr>
          <w:rFonts w:hint="eastAsia" w:ascii="宋体" w:hAnsi="宋体" w:cs="宋体"/>
          <w:b/>
          <w:bCs/>
          <w:sz w:val="24"/>
          <w:szCs w:val="24"/>
        </w:rPr>
        <w:t>十二、不可抗力</w:t>
      </w:r>
    </w:p>
    <w:p w14:paraId="0A252770">
      <w:pPr>
        <w:spacing w:line="360" w:lineRule="auto"/>
        <w:ind w:firstLine="480" w:firstLineChars="200"/>
        <w:rPr>
          <w:rFonts w:hint="eastAsia" w:ascii="宋体" w:hAnsi="宋体" w:cs="宋体"/>
          <w:sz w:val="24"/>
          <w:szCs w:val="24"/>
        </w:rPr>
      </w:pPr>
      <w:r>
        <w:rPr>
          <w:rFonts w:hint="eastAsia" w:ascii="宋体" w:hAnsi="宋体" w:cs="宋体"/>
          <w:sz w:val="24"/>
          <w:szCs w:val="24"/>
        </w:rPr>
        <w:t>正常年份的风、雨、雪、雾天气不属于不可抗力；一个有经验的承包商应当 能够估计到的自然气候、环境 (制约) 变化的影响原则上也不做为不可抗力事件 对待；高考、中考、运动会以及政府部门发出的有碍于施工的临时性指令均不做 为不可抗力事件对待。由于发生 30 年以上一遇的降雨引起的洪水灾害、雪灾造 成对工程的影响，经国家有关部门鉴定后可按不可抗力对待；发生破坏性地震的 属于不可抗力事件。</w:t>
      </w:r>
    </w:p>
    <w:p w14:paraId="221DF4C2">
      <w:pPr>
        <w:spacing w:line="360" w:lineRule="auto"/>
        <w:rPr>
          <w:rFonts w:hint="eastAsia" w:ascii="宋体" w:hAnsi="宋体" w:cs="宋体"/>
          <w:b/>
          <w:bCs/>
          <w:sz w:val="24"/>
          <w:szCs w:val="24"/>
        </w:rPr>
      </w:pPr>
      <w:r>
        <w:rPr>
          <w:rFonts w:hint="eastAsia" w:ascii="宋体" w:hAnsi="宋体" w:cs="宋体"/>
          <w:b/>
          <w:bCs/>
          <w:sz w:val="24"/>
          <w:szCs w:val="24"/>
        </w:rPr>
        <w:t>十三、保险</w:t>
      </w:r>
    </w:p>
    <w:p w14:paraId="28FD23DA">
      <w:pPr>
        <w:spacing w:line="360" w:lineRule="auto"/>
        <w:ind w:firstLine="480" w:firstLineChars="200"/>
        <w:rPr>
          <w:rFonts w:hint="eastAsia" w:ascii="宋体" w:hAnsi="宋体" w:cs="宋体"/>
          <w:sz w:val="24"/>
          <w:szCs w:val="24"/>
        </w:rPr>
      </w:pPr>
      <w:r>
        <w:rPr>
          <w:rFonts w:hint="eastAsia" w:ascii="宋体" w:hAnsi="宋体" w:cs="宋体"/>
          <w:sz w:val="24"/>
          <w:szCs w:val="24"/>
        </w:rPr>
        <w:t>关于工程保险、承包人员相关保险、设备设施保险等已包含在合同价款中， 保险费用由承包人承担，未购买的承包人承担全部责任。</w:t>
      </w:r>
    </w:p>
    <w:p w14:paraId="4876DCE2">
      <w:pPr>
        <w:spacing w:line="360" w:lineRule="auto"/>
        <w:rPr>
          <w:rFonts w:hint="eastAsia" w:ascii="宋体" w:hAnsi="宋体" w:cs="宋体"/>
          <w:b/>
          <w:bCs/>
          <w:sz w:val="24"/>
          <w:szCs w:val="24"/>
        </w:rPr>
      </w:pPr>
      <w:r>
        <w:rPr>
          <w:rFonts w:hint="eastAsia" w:ascii="宋体" w:hAnsi="宋体" w:cs="宋体"/>
          <w:b/>
          <w:bCs/>
          <w:sz w:val="24"/>
          <w:szCs w:val="24"/>
        </w:rPr>
        <w:t>十四、其他</w:t>
      </w:r>
    </w:p>
    <w:p w14:paraId="05B95C2E">
      <w:pPr>
        <w:spacing w:line="360" w:lineRule="auto"/>
        <w:ind w:firstLine="480" w:firstLineChars="200"/>
        <w:rPr>
          <w:rFonts w:hint="eastAsia" w:ascii="宋体" w:hAnsi="宋体" w:cs="宋体"/>
          <w:sz w:val="24"/>
          <w:szCs w:val="24"/>
        </w:rPr>
      </w:pPr>
      <w:r>
        <w:rPr>
          <w:rFonts w:hint="eastAsia" w:ascii="宋体" w:hAnsi="宋体" w:cs="宋体"/>
          <w:sz w:val="24"/>
          <w:szCs w:val="24"/>
        </w:rPr>
        <w:t>1.在合同要求许可的范围内，在施工、完成工程及保修过程中，承包人所必 需的一切操作均不应对公众的便利及公用道路，以及通往属于发包人和他人财产 的人行道的进入、使用或占有，产生不必要及不适当的干扰；</w:t>
      </w:r>
    </w:p>
    <w:p w14:paraId="0D10279B">
      <w:pPr>
        <w:spacing w:line="360" w:lineRule="auto"/>
        <w:ind w:firstLine="480" w:firstLineChars="200"/>
        <w:rPr>
          <w:rFonts w:hint="eastAsia" w:ascii="宋体" w:hAnsi="宋体" w:cs="宋体"/>
          <w:sz w:val="24"/>
          <w:szCs w:val="24"/>
        </w:rPr>
      </w:pPr>
      <w:r>
        <w:rPr>
          <w:rFonts w:hint="eastAsia" w:ascii="宋体" w:hAnsi="宋体" w:cs="宋体"/>
          <w:sz w:val="24"/>
          <w:szCs w:val="24"/>
        </w:rPr>
        <w:t>2.承包人的施工管理区及施工现场应设有临时的污水处理设施和施工排水 设施，生活、施工垃圾等处置应妥当；</w:t>
      </w:r>
    </w:p>
    <w:p w14:paraId="72609462">
      <w:pPr>
        <w:spacing w:line="360" w:lineRule="auto"/>
        <w:ind w:firstLine="480" w:firstLineChars="200"/>
        <w:rPr>
          <w:rFonts w:hint="eastAsia" w:ascii="宋体" w:hAnsi="宋体" w:cs="宋体"/>
          <w:sz w:val="24"/>
          <w:szCs w:val="24"/>
        </w:rPr>
      </w:pPr>
      <w:r>
        <w:rPr>
          <w:rFonts w:hint="eastAsia" w:ascii="宋体" w:hAnsi="宋体" w:cs="宋体"/>
          <w:sz w:val="24"/>
          <w:szCs w:val="24"/>
        </w:rPr>
        <w:t>3.竣工验收合格后，承包人应立即从签发了移交证书的那部分工地上将所有 有关承包人的设备、多余材料、垃圾及各种临时工程清除、移走，恢复损坏的原 有公共设施，并使这一部分工程及工地保持清洁，使发包人满意。在质量保修期 结束之前，未完成保修期内的义务，将其需要的材料、承包人的和设备、临时设 施保留在发包人指定的位置；</w:t>
      </w:r>
    </w:p>
    <w:p w14:paraId="45463239">
      <w:pPr>
        <w:spacing w:line="360" w:lineRule="auto"/>
        <w:ind w:firstLine="480" w:firstLineChars="200"/>
        <w:rPr>
          <w:rFonts w:hint="eastAsia" w:ascii="宋体" w:hAnsi="宋体" w:cs="宋体"/>
          <w:sz w:val="24"/>
          <w:szCs w:val="24"/>
        </w:rPr>
      </w:pPr>
      <w:r>
        <w:rPr>
          <w:rFonts w:hint="eastAsia" w:ascii="宋体" w:hAnsi="宋体" w:cs="宋体"/>
          <w:sz w:val="24"/>
          <w:szCs w:val="24"/>
        </w:rPr>
        <w:t>4.承包人应全权负责其劳务及资源的雇佣、工资的支付、房屋、膳食及运输 的安排。承包人在任何时候应采取一切合理的预防措施，以防止其职员发生任何 违法的、妨碍治安的行为，并维护治安和保护工程附近的个人或财产免遭上述行 为的破坏；</w:t>
      </w:r>
    </w:p>
    <w:p w14:paraId="103F4982">
      <w:pPr>
        <w:spacing w:line="360" w:lineRule="auto"/>
        <w:ind w:firstLine="480" w:firstLineChars="200"/>
        <w:rPr>
          <w:rFonts w:hint="eastAsia" w:ascii="宋体" w:hAnsi="宋体" w:cs="宋体"/>
          <w:sz w:val="24"/>
          <w:szCs w:val="24"/>
        </w:rPr>
      </w:pPr>
      <w:r>
        <w:rPr>
          <w:rFonts w:hint="eastAsia" w:ascii="宋体" w:hAnsi="宋体" w:cs="宋体"/>
          <w:sz w:val="24"/>
          <w:szCs w:val="24"/>
        </w:rPr>
        <w:t>5.承包人应按安全施工管理有关规定，配备安全管理机构，配备合格的安全 管理人员，负责处理全体工作人员和劳务人员的安全保护和防止事故等问题。在 施工中发生的任何机械及人身伤害事故均由承包方承担赔偿责任；</w:t>
      </w:r>
    </w:p>
    <w:p w14:paraId="09BD65D5">
      <w:pPr>
        <w:spacing w:line="360" w:lineRule="auto"/>
        <w:ind w:firstLine="480" w:firstLineChars="200"/>
        <w:rPr>
          <w:rFonts w:hint="eastAsia" w:ascii="宋体" w:hAnsi="宋体" w:cs="宋体"/>
          <w:sz w:val="24"/>
          <w:szCs w:val="24"/>
        </w:rPr>
      </w:pPr>
      <w:r>
        <w:rPr>
          <w:rFonts w:hint="eastAsia" w:ascii="宋体" w:hAnsi="宋体" w:cs="宋体"/>
          <w:sz w:val="24"/>
          <w:szCs w:val="24"/>
        </w:rPr>
        <w:t>6.承包人应以迅速而有序的方式将所采购的材料运至工地现场，并按工程规 范要求做相应的试验、试样和检测工作，当这些工作不符合现行有关规定 (包括 不及时开展相关工作)时，发包人有权直接指定由相关资质的检测单位进行试验、 试样、检测工作，由此发生的所有费用由承包人承担；</w:t>
      </w:r>
    </w:p>
    <w:p w14:paraId="0F3B20D6">
      <w:pPr>
        <w:spacing w:line="360" w:lineRule="auto"/>
        <w:ind w:firstLine="480" w:firstLineChars="200"/>
        <w:rPr>
          <w:rFonts w:hint="eastAsia" w:ascii="宋体" w:hAnsi="宋体" w:cs="宋体"/>
          <w:sz w:val="24"/>
          <w:szCs w:val="24"/>
        </w:rPr>
      </w:pPr>
      <w:r>
        <w:rPr>
          <w:rFonts w:hint="eastAsia" w:ascii="宋体" w:hAnsi="宋体" w:cs="宋体"/>
          <w:sz w:val="24"/>
          <w:szCs w:val="24"/>
        </w:rPr>
        <w:t>7.承包人应负责各分包人在施工过程的之前、之中、之后协调工作，包括工 序、场地、材料堆放、人员食宿、水、电供应等，所发生的费用由承包人自行解 决；</w:t>
      </w:r>
    </w:p>
    <w:p w14:paraId="4332F312">
      <w:pPr>
        <w:spacing w:line="360" w:lineRule="auto"/>
        <w:ind w:firstLine="480" w:firstLineChars="200"/>
        <w:rPr>
          <w:rFonts w:hint="eastAsia" w:ascii="宋体" w:hAnsi="宋体" w:cs="宋体"/>
          <w:sz w:val="24"/>
          <w:szCs w:val="24"/>
        </w:rPr>
      </w:pPr>
      <w:r>
        <w:rPr>
          <w:rFonts w:hint="eastAsia" w:ascii="宋体" w:hAnsi="宋体" w:cs="宋体"/>
          <w:sz w:val="24"/>
          <w:szCs w:val="24"/>
        </w:rPr>
        <w:t>8.承包人必须服从发包人对总平面管理和现场平面管理的要求，现场设施搭</w:t>
      </w:r>
    </w:p>
    <w:p w14:paraId="4C9AC546">
      <w:pPr>
        <w:spacing w:line="360" w:lineRule="auto"/>
        <w:rPr>
          <w:rFonts w:hint="eastAsia" w:ascii="宋体" w:hAnsi="宋体" w:cs="宋体"/>
          <w:sz w:val="24"/>
          <w:szCs w:val="24"/>
        </w:rPr>
      </w:pPr>
      <w:r>
        <w:rPr>
          <w:rFonts w:hint="eastAsia" w:ascii="宋体" w:hAnsi="宋体" w:cs="宋体"/>
          <w:sz w:val="24"/>
          <w:szCs w:val="24"/>
        </w:rPr>
        <w:t>建必须按发包人批准的搭建方案实施，严禁擅自乱建或扩大面积；</w:t>
      </w:r>
    </w:p>
    <w:p w14:paraId="0DDA2E1B">
      <w:pPr>
        <w:spacing w:line="360" w:lineRule="auto"/>
        <w:ind w:firstLine="480" w:firstLineChars="200"/>
        <w:rPr>
          <w:rFonts w:hint="eastAsia" w:ascii="宋体" w:hAnsi="宋体" w:cs="宋体"/>
          <w:sz w:val="24"/>
          <w:szCs w:val="24"/>
        </w:rPr>
      </w:pPr>
      <w:r>
        <w:rPr>
          <w:rFonts w:hint="eastAsia" w:ascii="宋体" w:hAnsi="宋体" w:cs="宋体"/>
          <w:sz w:val="24"/>
          <w:szCs w:val="24"/>
        </w:rPr>
        <w:t>9.承包人负责处理当地农民对施工的干扰 (非采购人原因) ，自行处理与当 地农民的关系。</w:t>
      </w:r>
    </w:p>
    <w:p w14:paraId="5D6C941F">
      <w:pPr>
        <w:spacing w:line="360" w:lineRule="auto"/>
        <w:ind w:firstLine="480" w:firstLineChars="200"/>
        <w:rPr>
          <w:rFonts w:hint="eastAsia" w:ascii="宋体" w:hAnsi="宋体" w:cs="宋体"/>
          <w:sz w:val="24"/>
          <w:szCs w:val="24"/>
        </w:rPr>
      </w:pPr>
      <w:r>
        <w:rPr>
          <w:rFonts w:hint="eastAsia" w:ascii="宋体" w:hAnsi="宋体" w:cs="宋体"/>
          <w:sz w:val="24"/>
          <w:szCs w:val="24"/>
        </w:rPr>
        <w:t>10.承包人自行解决临时用房。</w:t>
      </w:r>
    </w:p>
    <w:p w14:paraId="05767C5B">
      <w:pPr>
        <w:spacing w:line="360" w:lineRule="auto"/>
        <w:rPr>
          <w:rFonts w:hint="eastAsia" w:ascii="宋体" w:hAnsi="宋体" w:cs="宋体"/>
          <w:b/>
          <w:bCs/>
          <w:sz w:val="24"/>
          <w:szCs w:val="24"/>
        </w:rPr>
      </w:pPr>
      <w:r>
        <w:rPr>
          <w:rFonts w:hint="eastAsia" w:ascii="宋体" w:hAnsi="宋体" w:cs="宋体"/>
          <w:b/>
          <w:bCs/>
          <w:sz w:val="24"/>
          <w:szCs w:val="24"/>
        </w:rPr>
        <w:t>十五、合同文件构成</w:t>
      </w:r>
    </w:p>
    <w:p w14:paraId="61AC3735">
      <w:pPr>
        <w:spacing w:line="360" w:lineRule="auto"/>
        <w:ind w:firstLine="480" w:firstLineChars="200"/>
        <w:rPr>
          <w:rFonts w:hint="eastAsia" w:ascii="宋体" w:hAnsi="宋体" w:cs="宋体"/>
          <w:sz w:val="24"/>
          <w:szCs w:val="24"/>
        </w:rPr>
      </w:pPr>
      <w:r>
        <w:rPr>
          <w:rFonts w:hint="eastAsia" w:ascii="宋体" w:hAnsi="宋体" w:cs="宋体"/>
          <w:sz w:val="24"/>
          <w:szCs w:val="24"/>
        </w:rPr>
        <w:t>组成本合同的文件包括：</w:t>
      </w:r>
    </w:p>
    <w:p w14:paraId="429C4D8A">
      <w:pPr>
        <w:spacing w:line="360" w:lineRule="auto"/>
        <w:ind w:firstLine="480" w:firstLineChars="200"/>
        <w:rPr>
          <w:rFonts w:hint="eastAsia" w:ascii="宋体" w:hAnsi="宋体" w:cs="宋体"/>
          <w:sz w:val="24"/>
          <w:szCs w:val="24"/>
        </w:rPr>
      </w:pPr>
      <w:r>
        <w:rPr>
          <w:rFonts w:hint="eastAsia" w:ascii="宋体" w:hAnsi="宋体" w:cs="宋体"/>
          <w:sz w:val="24"/>
          <w:szCs w:val="24"/>
        </w:rPr>
        <w:t>响应文件、工程报价单或预算书及其附件、磋商文件、答疑纪要及工程量清 单、标准、规范及有关技术文件。</w:t>
      </w:r>
    </w:p>
    <w:p w14:paraId="2398690C">
      <w:pPr>
        <w:spacing w:line="360" w:lineRule="auto"/>
        <w:ind w:firstLine="480" w:firstLineChars="200"/>
        <w:rPr>
          <w:rFonts w:hint="eastAsia" w:ascii="宋体" w:hAnsi="宋体" w:cs="宋体"/>
          <w:sz w:val="24"/>
          <w:szCs w:val="24"/>
        </w:rPr>
      </w:pPr>
      <w:r>
        <w:rPr>
          <w:rFonts w:hint="eastAsia" w:ascii="宋体" w:hAnsi="宋体" w:cs="宋体"/>
          <w:sz w:val="24"/>
          <w:szCs w:val="24"/>
        </w:rPr>
        <w:t>双方为履行本合同的有关洽商、变更等书面协议、文件，视为本合同的组成 部分。</w:t>
      </w:r>
    </w:p>
    <w:p w14:paraId="5CB0AA7D">
      <w:pPr>
        <w:spacing w:line="360" w:lineRule="auto"/>
        <w:ind w:firstLine="480" w:firstLineChars="200"/>
        <w:rPr>
          <w:rFonts w:hint="eastAsia" w:ascii="宋体" w:hAnsi="宋体" w:cs="宋体"/>
          <w:sz w:val="24"/>
          <w:szCs w:val="24"/>
        </w:rPr>
      </w:pPr>
      <w:r>
        <w:rPr>
          <w:rFonts w:hint="eastAsia" w:ascii="宋体" w:hAnsi="宋体" w:cs="宋体"/>
          <w:sz w:val="24"/>
          <w:szCs w:val="24"/>
        </w:rPr>
        <w:t>上述各项合同文件包括合同当事人就该项合同文件所作出的补充和修改，属 于同一类内容的文件，应以最新签署的为准。专用合同条款及其附件须经合同当 事人签字或盖章。</w:t>
      </w:r>
    </w:p>
    <w:p w14:paraId="450531B2">
      <w:pPr>
        <w:autoSpaceDE w:val="0"/>
        <w:autoSpaceDN w:val="0"/>
        <w:adjustRightInd w:val="0"/>
        <w:snapToGrid w:val="0"/>
        <w:spacing w:line="360" w:lineRule="auto"/>
        <w:jc w:val="both"/>
        <w:textAlignment w:val="baseline"/>
        <w:outlineLvl w:val="9"/>
        <w:rPr>
          <w:rFonts w:ascii="宋体" w:hAnsi="宋体" w:eastAsia="宋体" w:cs="Times New Roman"/>
          <w:b/>
          <w:color w:val="auto"/>
          <w:kern w:val="0"/>
          <w:sz w:val="24"/>
          <w:szCs w:val="24"/>
          <w:lang w:val="en-US" w:eastAsia="zh-CN" w:bidi="ar-SA"/>
        </w:rPr>
      </w:pPr>
      <w:bookmarkStart w:id="1" w:name="_Toc18618"/>
      <w:r>
        <w:rPr>
          <w:rFonts w:hint="eastAsia" w:ascii="宋体" w:hAnsi="宋体" w:eastAsia="宋体" w:cs="Times New Roman"/>
          <w:b/>
          <w:color w:val="auto"/>
          <w:kern w:val="0"/>
          <w:sz w:val="24"/>
          <w:szCs w:val="24"/>
          <w:lang w:val="en-US" w:eastAsia="zh-CN" w:bidi="ar-SA"/>
        </w:rPr>
        <w:t>十六、争议的解决方式</w:t>
      </w:r>
      <w:bookmarkEnd w:id="1"/>
    </w:p>
    <w:p w14:paraId="53152480">
      <w:pPr>
        <w:tabs>
          <w:tab w:val="left" w:pos="1260"/>
        </w:tabs>
        <w:adjustRightInd w:val="0"/>
        <w:snapToGrid w:val="0"/>
        <w:spacing w:line="360" w:lineRule="auto"/>
        <w:ind w:left="0" w:leftChars="0" w:firstLine="480" w:firstLineChars="200"/>
        <w:jc w:val="both"/>
        <w:textAlignment w:val="baseline"/>
        <w:rPr>
          <w:rFonts w:ascii="宋体" w:hAnsi="宋体" w:eastAsia="宋体" w:cs="Times New Roman"/>
          <w:color w:val="auto"/>
          <w:kern w:val="0"/>
          <w:sz w:val="24"/>
          <w:szCs w:val="24"/>
          <w:lang w:val="en-US" w:eastAsia="zh-CN" w:bidi="ar-SA"/>
        </w:rPr>
      </w:pPr>
      <w:r>
        <w:rPr>
          <w:rFonts w:hint="eastAsia" w:ascii="宋体" w:hAnsi="宋体" w:eastAsia="宋体" w:cs="Times New Roman"/>
          <w:color w:val="auto"/>
          <w:kern w:val="0"/>
          <w:sz w:val="24"/>
          <w:szCs w:val="24"/>
          <w:lang w:val="en-US" w:eastAsia="zh-CN" w:bidi="ar-SA"/>
        </w:rPr>
        <w:t>双方因履行本合同而发生的争议，应协商、调解解决。协商、调解不成的，依法向向</w:t>
      </w:r>
      <w:r>
        <w:rPr>
          <w:rFonts w:hint="eastAsia" w:ascii="宋体" w:hAnsi="宋体" w:cs="Times New Roman"/>
          <w:color w:val="auto"/>
          <w:kern w:val="0"/>
          <w:sz w:val="24"/>
          <w:szCs w:val="24"/>
          <w:lang w:val="en-US" w:eastAsia="zh-CN" w:bidi="ar-SA"/>
        </w:rPr>
        <w:t>项目所在地</w:t>
      </w:r>
      <w:r>
        <w:rPr>
          <w:rFonts w:hint="eastAsia" w:ascii="宋体" w:hAnsi="宋体" w:eastAsia="宋体" w:cs="Times New Roman"/>
          <w:color w:val="auto"/>
          <w:kern w:val="0"/>
          <w:sz w:val="24"/>
          <w:szCs w:val="24"/>
          <w:lang w:val="en-US" w:eastAsia="zh-CN" w:bidi="ar-SA"/>
        </w:rPr>
        <w:t>的人民法院提起诉讼。</w:t>
      </w:r>
    </w:p>
    <w:p w14:paraId="2F8726DE">
      <w:pPr>
        <w:spacing w:line="360" w:lineRule="auto"/>
        <w:rPr>
          <w:rFonts w:hint="eastAsia" w:ascii="宋体" w:hAnsi="宋体" w:cs="宋体"/>
          <w:b/>
          <w:bCs/>
          <w:sz w:val="24"/>
          <w:szCs w:val="24"/>
        </w:rPr>
      </w:pPr>
      <w:r>
        <w:rPr>
          <w:rFonts w:hint="eastAsia" w:ascii="宋体" w:hAnsi="宋体" w:cs="宋体"/>
          <w:b/>
          <w:bCs/>
          <w:sz w:val="24"/>
          <w:szCs w:val="24"/>
        </w:rPr>
        <w:t>十七、签订时间及地点</w:t>
      </w:r>
    </w:p>
    <w:p w14:paraId="680F895A">
      <w:pPr>
        <w:spacing w:line="360" w:lineRule="auto"/>
        <w:ind w:firstLine="480" w:firstLineChars="200"/>
        <w:rPr>
          <w:rFonts w:hint="eastAsia" w:ascii="宋体" w:hAnsi="宋体" w:cs="宋体"/>
          <w:sz w:val="24"/>
          <w:szCs w:val="24"/>
        </w:rPr>
      </w:pPr>
      <w:r>
        <w:rPr>
          <w:rFonts w:hint="eastAsia" w:ascii="宋体" w:hAnsi="宋体" w:cs="宋体"/>
          <w:sz w:val="24"/>
          <w:szCs w:val="24"/>
        </w:rPr>
        <w:t>本合同于 20</w:t>
      </w:r>
      <w:r>
        <w:rPr>
          <w:rFonts w:hint="eastAsia" w:ascii="宋体" w:hAnsi="宋体" w:cs="宋体"/>
          <w:sz w:val="24"/>
          <w:szCs w:val="24"/>
          <w:u w:val="single"/>
        </w:rPr>
        <w:t xml:space="preserve">   </w:t>
      </w:r>
      <w:r>
        <w:rPr>
          <w:rFonts w:hint="eastAsia" w:ascii="宋体" w:hAnsi="宋体" w:cs="宋体"/>
          <w:sz w:val="24"/>
          <w:szCs w:val="24"/>
        </w:rPr>
        <w:t>年</w:t>
      </w:r>
      <w:r>
        <w:rPr>
          <w:rFonts w:hint="eastAsia" w:ascii="宋体" w:hAnsi="宋体" w:cs="宋体"/>
          <w:sz w:val="24"/>
          <w:szCs w:val="24"/>
          <w:u w:val="single"/>
        </w:rPr>
        <w:t xml:space="preserve">    </w:t>
      </w:r>
      <w:r>
        <w:rPr>
          <w:rFonts w:hint="eastAsia" w:ascii="宋体" w:hAnsi="宋体" w:cs="宋体"/>
          <w:sz w:val="24"/>
          <w:szCs w:val="24"/>
        </w:rPr>
        <w:t>月</w:t>
      </w:r>
      <w:r>
        <w:rPr>
          <w:rFonts w:hint="eastAsia" w:ascii="宋体" w:hAnsi="宋体" w:cs="宋体"/>
          <w:sz w:val="24"/>
          <w:szCs w:val="24"/>
          <w:u w:val="single"/>
        </w:rPr>
        <w:t xml:space="preserve">    </w:t>
      </w:r>
      <w:r>
        <w:rPr>
          <w:rFonts w:hint="eastAsia" w:ascii="宋体" w:hAnsi="宋体" w:cs="宋体"/>
          <w:sz w:val="24"/>
          <w:szCs w:val="24"/>
        </w:rPr>
        <w:t>日签订。</w:t>
      </w:r>
    </w:p>
    <w:p w14:paraId="077CD310">
      <w:pPr>
        <w:spacing w:line="360" w:lineRule="auto"/>
        <w:ind w:firstLine="480" w:firstLineChars="200"/>
        <w:rPr>
          <w:rFonts w:hint="eastAsia" w:ascii="宋体" w:hAnsi="宋体" w:cs="宋体"/>
          <w:sz w:val="24"/>
          <w:szCs w:val="24"/>
        </w:rPr>
      </w:pPr>
      <w:r>
        <w:rPr>
          <w:rFonts w:hint="eastAsia" w:ascii="宋体" w:hAnsi="宋体" w:cs="宋体"/>
          <w:sz w:val="24"/>
          <w:szCs w:val="24"/>
        </w:rPr>
        <w:t>本合同签订地点：在</w:t>
      </w:r>
      <w:r>
        <w:rPr>
          <w:rFonts w:hint="eastAsia" w:ascii="宋体" w:hAnsi="宋体" w:cs="宋体"/>
          <w:sz w:val="24"/>
          <w:szCs w:val="24"/>
          <w:u w:val="single"/>
        </w:rPr>
        <w:t xml:space="preserve">            </w:t>
      </w:r>
      <w:r>
        <w:rPr>
          <w:rFonts w:hint="eastAsia" w:ascii="宋体" w:hAnsi="宋体" w:cs="宋体"/>
          <w:sz w:val="24"/>
          <w:szCs w:val="24"/>
        </w:rPr>
        <w:t>签订。</w:t>
      </w:r>
    </w:p>
    <w:p w14:paraId="200C4E56">
      <w:pPr>
        <w:spacing w:line="360" w:lineRule="auto"/>
        <w:rPr>
          <w:rFonts w:hint="eastAsia" w:ascii="宋体" w:hAnsi="宋体" w:cs="宋体"/>
          <w:b/>
          <w:bCs/>
          <w:sz w:val="24"/>
          <w:szCs w:val="24"/>
        </w:rPr>
      </w:pPr>
      <w:r>
        <w:rPr>
          <w:rFonts w:hint="eastAsia" w:ascii="宋体" w:hAnsi="宋体" w:cs="宋体"/>
          <w:b/>
          <w:bCs/>
          <w:sz w:val="24"/>
          <w:szCs w:val="24"/>
        </w:rPr>
        <w:t>十八、附则</w:t>
      </w:r>
    </w:p>
    <w:p w14:paraId="1B6C7695">
      <w:pPr>
        <w:spacing w:line="360" w:lineRule="auto"/>
        <w:ind w:firstLine="480" w:firstLineChars="200"/>
        <w:rPr>
          <w:rFonts w:hint="eastAsia" w:ascii="宋体" w:hAnsi="宋体" w:cs="宋体"/>
          <w:sz w:val="24"/>
          <w:szCs w:val="24"/>
        </w:rPr>
      </w:pPr>
      <w:r>
        <w:rPr>
          <w:rFonts w:hint="eastAsia" w:ascii="宋体" w:hAnsi="宋体" w:cs="宋体"/>
          <w:sz w:val="24"/>
          <w:szCs w:val="24"/>
        </w:rPr>
        <w:t>本合同一式捌份， 甲乙双方各执肆份，本合同双方签字盖章后生效。</w:t>
      </w:r>
    </w:p>
    <w:p w14:paraId="312EB022">
      <w:pPr>
        <w:spacing w:line="360" w:lineRule="auto"/>
        <w:ind w:firstLine="480" w:firstLineChars="200"/>
        <w:rPr>
          <w:rFonts w:hint="eastAsia" w:ascii="宋体" w:hAnsi="宋体" w:cs="宋体"/>
          <w:sz w:val="24"/>
          <w:szCs w:val="24"/>
        </w:rPr>
      </w:pPr>
    </w:p>
    <w:p w14:paraId="5B99FA72">
      <w:pPr>
        <w:spacing w:line="360" w:lineRule="auto"/>
        <w:ind w:firstLine="480" w:firstLineChars="200"/>
        <w:rPr>
          <w:rFonts w:hint="eastAsia" w:ascii="宋体" w:hAnsi="宋体" w:cs="宋体"/>
          <w:sz w:val="24"/>
          <w:szCs w:val="24"/>
        </w:rPr>
      </w:pPr>
      <w:r>
        <w:rPr>
          <w:rFonts w:hint="eastAsia" w:ascii="宋体" w:hAnsi="宋体" w:cs="宋体"/>
          <w:sz w:val="24"/>
          <w:szCs w:val="24"/>
        </w:rPr>
        <w:t>附件 1：材料、设备品牌清单</w:t>
      </w:r>
    </w:p>
    <w:p w14:paraId="4796ACA0">
      <w:pPr>
        <w:spacing w:line="360" w:lineRule="auto"/>
        <w:ind w:firstLine="480" w:firstLineChars="200"/>
        <w:rPr>
          <w:rFonts w:hint="eastAsia" w:ascii="宋体" w:hAnsi="宋体" w:cs="宋体"/>
          <w:sz w:val="24"/>
          <w:szCs w:val="24"/>
        </w:rPr>
      </w:pPr>
      <w:r>
        <w:rPr>
          <w:rFonts w:hint="eastAsia" w:ascii="宋体" w:hAnsi="宋体" w:cs="宋体"/>
          <w:sz w:val="24"/>
          <w:szCs w:val="24"/>
        </w:rPr>
        <w:t>附件 2：工程质量保修书</w:t>
      </w:r>
    </w:p>
    <w:p w14:paraId="438EBB45">
      <w:pPr>
        <w:pStyle w:val="4"/>
        <w:spacing w:line="360" w:lineRule="auto"/>
        <w:ind w:left="239" w:leftChars="114" w:firstLine="26" w:firstLineChars="132"/>
        <w:rPr>
          <w:rFonts w:hint="eastAsia" w:ascii="宋体" w:hAnsi="宋体" w:cs="宋体"/>
          <w:sz w:val="24"/>
          <w:szCs w:val="24"/>
          <w:lang w:bidi="ar"/>
        </w:rPr>
      </w:pPr>
      <w:r>
        <w:rPr>
          <w:rFonts w:ascii="Arial" w:hAnsi="Arial" w:eastAsia="Arial" w:cs="Arial"/>
          <w:sz w:val="2"/>
          <w:szCs w:val="2"/>
        </w:rPr>
        <w:br w:type="column"/>
      </w:r>
      <w:r>
        <w:rPr>
          <w:rFonts w:hint="eastAsia" w:ascii="宋体" w:hAnsi="宋体" w:cs="宋体"/>
          <w:sz w:val="24"/>
          <w:szCs w:val="24"/>
          <w:lang w:bidi="ar"/>
        </w:rPr>
        <w:t>以下无正文</w:t>
      </w:r>
    </w:p>
    <w:tbl>
      <w:tblPr>
        <w:tblStyle w:val="6"/>
        <w:tblW w:w="8680" w:type="dxa"/>
        <w:tblInd w:w="-106" w:type="dxa"/>
        <w:tblLayout w:type="fixed"/>
        <w:tblCellMar>
          <w:top w:w="0" w:type="dxa"/>
          <w:left w:w="108" w:type="dxa"/>
          <w:bottom w:w="0" w:type="dxa"/>
          <w:right w:w="108" w:type="dxa"/>
        </w:tblCellMar>
      </w:tblPr>
      <w:tblGrid>
        <w:gridCol w:w="4183"/>
        <w:gridCol w:w="4497"/>
      </w:tblGrid>
      <w:tr w14:paraId="0011811B">
        <w:tblPrEx>
          <w:tblCellMar>
            <w:top w:w="0" w:type="dxa"/>
            <w:left w:w="108" w:type="dxa"/>
            <w:bottom w:w="0" w:type="dxa"/>
            <w:right w:w="108" w:type="dxa"/>
          </w:tblCellMar>
        </w:tblPrEx>
        <w:trPr>
          <w:trHeight w:val="863" w:hRule="atLeast"/>
        </w:trPr>
        <w:tc>
          <w:tcPr>
            <w:tcW w:w="4183" w:type="dxa"/>
            <w:noWrap w:val="0"/>
            <w:vAlign w:val="center"/>
          </w:tcPr>
          <w:p w14:paraId="4820640A">
            <w:pPr>
              <w:spacing w:line="360" w:lineRule="auto"/>
              <w:rPr>
                <w:rFonts w:ascii="宋体" w:hAnsi="宋体"/>
                <w:b/>
                <w:bCs/>
                <w:sz w:val="24"/>
                <w:szCs w:val="24"/>
              </w:rPr>
            </w:pPr>
            <w:r>
              <w:rPr>
                <w:rFonts w:hint="eastAsia" w:ascii="宋体" w:hAnsi="宋体" w:cs="仿宋_GB2312"/>
                <w:b/>
                <w:bCs/>
                <w:sz w:val="24"/>
                <w:szCs w:val="24"/>
              </w:rPr>
              <w:t>甲方（签章）：</w:t>
            </w:r>
          </w:p>
          <w:p w14:paraId="75F43631">
            <w:pPr>
              <w:spacing w:line="360" w:lineRule="auto"/>
              <w:rPr>
                <w:rFonts w:ascii="宋体" w:hAnsi="宋体"/>
                <w:b/>
                <w:bCs/>
                <w:sz w:val="24"/>
                <w:szCs w:val="24"/>
              </w:rPr>
            </w:pPr>
          </w:p>
        </w:tc>
        <w:tc>
          <w:tcPr>
            <w:tcW w:w="4497" w:type="dxa"/>
            <w:noWrap w:val="0"/>
            <w:vAlign w:val="center"/>
          </w:tcPr>
          <w:p w14:paraId="1737B403">
            <w:pPr>
              <w:spacing w:line="360" w:lineRule="auto"/>
              <w:rPr>
                <w:rFonts w:ascii="宋体" w:hAnsi="宋体"/>
                <w:b/>
                <w:bCs/>
                <w:sz w:val="24"/>
                <w:szCs w:val="24"/>
              </w:rPr>
            </w:pPr>
            <w:r>
              <w:rPr>
                <w:rFonts w:hint="eastAsia" w:ascii="宋体" w:hAnsi="宋体" w:cs="仿宋_GB2312"/>
                <w:b/>
                <w:bCs/>
                <w:sz w:val="24"/>
                <w:szCs w:val="24"/>
              </w:rPr>
              <w:t xml:space="preserve">乙方（签章）： </w:t>
            </w:r>
            <w:r>
              <w:rPr>
                <w:rFonts w:ascii="宋体" w:hAnsi="宋体" w:cs="仿宋_GB2312"/>
                <w:b/>
                <w:bCs/>
                <w:sz w:val="24"/>
                <w:szCs w:val="24"/>
              </w:rPr>
              <w:t xml:space="preserve">                                                                            </w:t>
            </w:r>
          </w:p>
          <w:p w14:paraId="1C9B8D77">
            <w:pPr>
              <w:spacing w:line="360" w:lineRule="auto"/>
              <w:rPr>
                <w:rFonts w:ascii="宋体" w:hAnsi="宋体"/>
                <w:b/>
                <w:bCs/>
                <w:sz w:val="24"/>
                <w:szCs w:val="24"/>
              </w:rPr>
            </w:pPr>
          </w:p>
        </w:tc>
      </w:tr>
      <w:tr w14:paraId="5123D733">
        <w:tblPrEx>
          <w:tblCellMar>
            <w:top w:w="0" w:type="dxa"/>
            <w:left w:w="108" w:type="dxa"/>
            <w:bottom w:w="0" w:type="dxa"/>
            <w:right w:w="108" w:type="dxa"/>
          </w:tblCellMar>
        </w:tblPrEx>
        <w:trPr>
          <w:trHeight w:val="863" w:hRule="atLeast"/>
        </w:trPr>
        <w:tc>
          <w:tcPr>
            <w:tcW w:w="4183" w:type="dxa"/>
            <w:noWrap w:val="0"/>
            <w:vAlign w:val="center"/>
          </w:tcPr>
          <w:p w14:paraId="4B3A53B6">
            <w:pPr>
              <w:spacing w:line="360" w:lineRule="auto"/>
              <w:rPr>
                <w:rFonts w:ascii="宋体" w:hAnsi="宋体" w:cs="仿宋_GB2312"/>
                <w:b/>
                <w:bCs/>
                <w:sz w:val="24"/>
                <w:szCs w:val="24"/>
              </w:rPr>
            </w:pPr>
            <w:r>
              <w:rPr>
                <w:rFonts w:hint="eastAsia" w:ascii="宋体" w:hAnsi="宋体" w:cs="仿宋_GB2312"/>
                <w:b/>
                <w:bCs/>
                <w:sz w:val="24"/>
                <w:szCs w:val="24"/>
              </w:rPr>
              <w:t>授权代表</w:t>
            </w:r>
            <w:r>
              <w:rPr>
                <w:rFonts w:ascii="宋体" w:hAnsi="宋体" w:cs="仿宋_GB2312"/>
                <w:b/>
                <w:bCs/>
                <w:sz w:val="24"/>
                <w:szCs w:val="24"/>
              </w:rPr>
              <w:t>:</w:t>
            </w:r>
          </w:p>
          <w:p w14:paraId="2E6AEE11">
            <w:pPr>
              <w:spacing w:line="360" w:lineRule="auto"/>
              <w:rPr>
                <w:rFonts w:ascii="宋体" w:hAnsi="宋体" w:cs="仿宋_GB2312"/>
                <w:b/>
                <w:bCs/>
                <w:sz w:val="24"/>
                <w:szCs w:val="24"/>
              </w:rPr>
            </w:pPr>
          </w:p>
        </w:tc>
        <w:tc>
          <w:tcPr>
            <w:tcW w:w="4497" w:type="dxa"/>
            <w:noWrap w:val="0"/>
            <w:vAlign w:val="center"/>
          </w:tcPr>
          <w:p w14:paraId="7BFD3FAB">
            <w:pPr>
              <w:spacing w:line="360" w:lineRule="auto"/>
              <w:rPr>
                <w:rFonts w:ascii="宋体" w:hAnsi="宋体" w:cs="仿宋_GB2312"/>
                <w:b/>
                <w:bCs/>
                <w:sz w:val="24"/>
                <w:szCs w:val="24"/>
              </w:rPr>
            </w:pPr>
            <w:r>
              <w:rPr>
                <w:rFonts w:hint="eastAsia" w:ascii="宋体" w:hAnsi="宋体" w:cs="仿宋_GB2312"/>
                <w:b/>
                <w:bCs/>
                <w:sz w:val="24"/>
                <w:szCs w:val="24"/>
              </w:rPr>
              <w:t>授权代表</w:t>
            </w:r>
            <w:r>
              <w:rPr>
                <w:rFonts w:ascii="宋体" w:hAnsi="宋体" w:cs="仿宋_GB2312"/>
                <w:b/>
                <w:bCs/>
                <w:sz w:val="24"/>
                <w:szCs w:val="24"/>
              </w:rPr>
              <w:t>:</w:t>
            </w:r>
          </w:p>
          <w:p w14:paraId="13274794">
            <w:pPr>
              <w:spacing w:line="360" w:lineRule="auto"/>
              <w:rPr>
                <w:rFonts w:ascii="宋体" w:hAnsi="宋体" w:cs="仿宋_GB2312"/>
                <w:b/>
                <w:bCs/>
                <w:sz w:val="24"/>
                <w:szCs w:val="24"/>
              </w:rPr>
            </w:pPr>
          </w:p>
        </w:tc>
      </w:tr>
      <w:tr w14:paraId="01D04BBA">
        <w:tblPrEx>
          <w:tblCellMar>
            <w:top w:w="0" w:type="dxa"/>
            <w:left w:w="108" w:type="dxa"/>
            <w:bottom w:w="0" w:type="dxa"/>
            <w:right w:w="108" w:type="dxa"/>
          </w:tblCellMar>
        </w:tblPrEx>
        <w:trPr>
          <w:trHeight w:val="863" w:hRule="atLeast"/>
        </w:trPr>
        <w:tc>
          <w:tcPr>
            <w:tcW w:w="4183" w:type="dxa"/>
            <w:noWrap w:val="0"/>
            <w:vAlign w:val="center"/>
          </w:tcPr>
          <w:p w14:paraId="0A3FD237">
            <w:pPr>
              <w:spacing w:line="360" w:lineRule="auto"/>
              <w:rPr>
                <w:rFonts w:ascii="宋体" w:hAnsi="宋体"/>
                <w:b/>
                <w:bCs/>
                <w:sz w:val="24"/>
                <w:szCs w:val="24"/>
              </w:rPr>
            </w:pPr>
            <w:r>
              <w:rPr>
                <w:rFonts w:hint="eastAsia" w:ascii="宋体" w:hAnsi="宋体" w:cs="仿宋_GB2312"/>
                <w:b/>
                <w:bCs/>
                <w:sz w:val="24"/>
                <w:szCs w:val="24"/>
              </w:rPr>
              <w:t>签约日期：</w:t>
            </w:r>
          </w:p>
          <w:p w14:paraId="4D1EF2A5">
            <w:pPr>
              <w:spacing w:line="360" w:lineRule="auto"/>
              <w:rPr>
                <w:rFonts w:ascii="宋体" w:hAnsi="宋体"/>
                <w:b/>
                <w:bCs/>
                <w:sz w:val="24"/>
                <w:szCs w:val="24"/>
              </w:rPr>
            </w:pPr>
            <w:r>
              <w:rPr>
                <w:rFonts w:ascii="宋体" w:hAnsi="宋体" w:cs="仿宋_GB2312"/>
                <w:b/>
                <w:bCs/>
                <w:sz w:val="24"/>
                <w:szCs w:val="24"/>
                <w:u w:val="single"/>
              </w:rPr>
              <w:t xml:space="preserve">      </w:t>
            </w:r>
            <w:r>
              <w:rPr>
                <w:rFonts w:hint="eastAsia" w:ascii="宋体" w:hAnsi="宋体" w:cs="仿宋_GB2312"/>
                <w:b/>
                <w:bCs/>
                <w:sz w:val="24"/>
                <w:szCs w:val="24"/>
              </w:rPr>
              <w:t>年</w:t>
            </w:r>
            <w:r>
              <w:rPr>
                <w:rFonts w:ascii="宋体" w:hAnsi="宋体" w:cs="仿宋_GB2312"/>
                <w:b/>
                <w:bCs/>
                <w:sz w:val="24"/>
                <w:szCs w:val="24"/>
                <w:u w:val="single"/>
              </w:rPr>
              <w:t xml:space="preserve">      </w:t>
            </w:r>
            <w:r>
              <w:rPr>
                <w:rFonts w:hint="eastAsia" w:ascii="宋体" w:hAnsi="宋体" w:cs="仿宋_GB2312"/>
                <w:b/>
                <w:bCs/>
                <w:sz w:val="24"/>
                <w:szCs w:val="24"/>
              </w:rPr>
              <w:t>月</w:t>
            </w:r>
            <w:r>
              <w:rPr>
                <w:rFonts w:ascii="宋体" w:hAnsi="宋体" w:cs="仿宋_GB2312"/>
                <w:b/>
                <w:bCs/>
                <w:sz w:val="24"/>
                <w:szCs w:val="24"/>
                <w:u w:val="single"/>
              </w:rPr>
              <w:t xml:space="preserve">     </w:t>
            </w:r>
            <w:r>
              <w:rPr>
                <w:rFonts w:hint="eastAsia" w:ascii="宋体" w:hAnsi="宋体" w:cs="仿宋_GB2312"/>
                <w:b/>
                <w:bCs/>
                <w:sz w:val="24"/>
                <w:szCs w:val="24"/>
              </w:rPr>
              <w:t>日</w:t>
            </w:r>
          </w:p>
        </w:tc>
        <w:tc>
          <w:tcPr>
            <w:tcW w:w="4497" w:type="dxa"/>
            <w:noWrap w:val="0"/>
            <w:vAlign w:val="center"/>
          </w:tcPr>
          <w:p w14:paraId="7FCAEF0D">
            <w:pPr>
              <w:spacing w:line="360" w:lineRule="auto"/>
              <w:rPr>
                <w:rFonts w:ascii="宋体" w:hAnsi="宋体"/>
                <w:b/>
                <w:bCs/>
                <w:sz w:val="24"/>
                <w:szCs w:val="24"/>
              </w:rPr>
            </w:pPr>
            <w:r>
              <w:rPr>
                <w:rFonts w:hint="eastAsia" w:ascii="宋体" w:hAnsi="宋体" w:cs="仿宋_GB2312"/>
                <w:b/>
                <w:bCs/>
                <w:sz w:val="24"/>
                <w:szCs w:val="24"/>
              </w:rPr>
              <w:t>签约日期：</w:t>
            </w:r>
          </w:p>
          <w:p w14:paraId="5C4A24C5">
            <w:pPr>
              <w:spacing w:line="360" w:lineRule="auto"/>
              <w:rPr>
                <w:rFonts w:ascii="宋体" w:hAnsi="宋体"/>
                <w:b/>
                <w:bCs/>
                <w:sz w:val="24"/>
                <w:szCs w:val="24"/>
              </w:rPr>
            </w:pPr>
            <w:r>
              <w:rPr>
                <w:rFonts w:ascii="宋体" w:hAnsi="宋体" w:cs="仿宋_GB2312"/>
                <w:b/>
                <w:bCs/>
                <w:sz w:val="24"/>
                <w:szCs w:val="24"/>
                <w:u w:val="single"/>
              </w:rPr>
              <w:t xml:space="preserve">      </w:t>
            </w:r>
            <w:r>
              <w:rPr>
                <w:rFonts w:hint="eastAsia" w:ascii="宋体" w:hAnsi="宋体" w:cs="仿宋_GB2312"/>
                <w:b/>
                <w:bCs/>
                <w:sz w:val="24"/>
                <w:szCs w:val="24"/>
              </w:rPr>
              <w:t>年</w:t>
            </w:r>
            <w:r>
              <w:rPr>
                <w:rFonts w:ascii="宋体" w:hAnsi="宋体" w:cs="仿宋_GB2312"/>
                <w:b/>
                <w:bCs/>
                <w:sz w:val="24"/>
                <w:szCs w:val="24"/>
                <w:u w:val="single"/>
              </w:rPr>
              <w:t xml:space="preserve">      </w:t>
            </w:r>
            <w:r>
              <w:rPr>
                <w:rFonts w:hint="eastAsia" w:ascii="宋体" w:hAnsi="宋体" w:cs="仿宋_GB2312"/>
                <w:b/>
                <w:bCs/>
                <w:sz w:val="24"/>
                <w:szCs w:val="24"/>
              </w:rPr>
              <w:t>月</w:t>
            </w:r>
            <w:r>
              <w:rPr>
                <w:rFonts w:ascii="宋体" w:hAnsi="宋体" w:cs="仿宋_GB2312"/>
                <w:b/>
                <w:bCs/>
                <w:sz w:val="24"/>
                <w:szCs w:val="24"/>
                <w:u w:val="single"/>
              </w:rPr>
              <w:t xml:space="preserve">      </w:t>
            </w:r>
            <w:r>
              <w:rPr>
                <w:rFonts w:hint="eastAsia" w:ascii="宋体" w:hAnsi="宋体" w:cs="仿宋_GB2312"/>
                <w:b/>
                <w:bCs/>
                <w:sz w:val="24"/>
                <w:szCs w:val="24"/>
              </w:rPr>
              <w:t>日</w:t>
            </w:r>
          </w:p>
        </w:tc>
      </w:tr>
    </w:tbl>
    <w:p w14:paraId="5B96E50D">
      <w:pPr>
        <w:spacing w:before="47" w:line="227" w:lineRule="auto"/>
        <w:jc w:val="left"/>
        <w:rPr>
          <w:rFonts w:ascii="宋体" w:hAnsi="宋体" w:cs="宋体"/>
          <w:sz w:val="23"/>
          <w:szCs w:val="23"/>
        </w:rPr>
      </w:pPr>
      <w:r>
        <w:rPr>
          <w:rFonts w:hint="eastAsia" w:ascii="宋体" w:hAnsi="宋体" w:cs="宋体"/>
          <w:b/>
          <w:sz w:val="36"/>
          <w:szCs w:val="36"/>
        </w:rPr>
        <w:br w:type="page"/>
      </w:r>
      <w:r>
        <w:rPr>
          <w:rFonts w:ascii="宋体" w:hAnsi="宋体" w:cs="宋体"/>
          <w:spacing w:val="-15"/>
          <w:sz w:val="28"/>
          <w:szCs w:val="28"/>
        </w:rPr>
        <w:t>附</w:t>
      </w:r>
      <w:r>
        <w:rPr>
          <w:rFonts w:ascii="宋体" w:hAnsi="宋体" w:cs="宋体"/>
          <w:spacing w:val="-11"/>
          <w:sz w:val="28"/>
          <w:szCs w:val="28"/>
        </w:rPr>
        <w:t>件 1：</w:t>
      </w:r>
    </w:p>
    <w:p w14:paraId="56412371">
      <w:pPr>
        <w:spacing w:before="210" w:line="219" w:lineRule="auto"/>
        <w:jc w:val="center"/>
        <w:rPr>
          <w:rFonts w:ascii="宋体" w:hAnsi="宋体" w:cs="宋体"/>
          <w:sz w:val="28"/>
          <w:szCs w:val="28"/>
        </w:rPr>
      </w:pPr>
      <w:r>
        <w:rPr>
          <w:rFonts w:ascii="宋体" w:hAnsi="宋体" w:cs="宋体"/>
          <w:spacing w:val="-1"/>
          <w:sz w:val="28"/>
          <w:szCs w:val="28"/>
        </w:rPr>
        <w:t>主要</w:t>
      </w:r>
      <w:r>
        <w:rPr>
          <w:rFonts w:ascii="宋体" w:hAnsi="宋体" w:cs="宋体"/>
          <w:sz w:val="28"/>
          <w:szCs w:val="28"/>
        </w:rPr>
        <w:t>材料、设备品牌清单</w:t>
      </w:r>
    </w:p>
    <w:p w14:paraId="401C343A">
      <w:pPr>
        <w:spacing w:line="191" w:lineRule="exact"/>
      </w:pPr>
    </w:p>
    <w:tbl>
      <w:tblPr>
        <w:tblStyle w:val="6"/>
        <w:tblW w:w="9236"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56"/>
        <w:gridCol w:w="1961"/>
        <w:gridCol w:w="2435"/>
        <w:gridCol w:w="1781"/>
        <w:gridCol w:w="2203"/>
      </w:tblGrid>
      <w:tr w14:paraId="0CE15F7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4" w:hRule="atLeast"/>
          <w:jc w:val="center"/>
        </w:trPr>
        <w:tc>
          <w:tcPr>
            <w:tcW w:w="856" w:type="dxa"/>
            <w:noWrap w:val="0"/>
            <w:vAlign w:val="top"/>
          </w:tcPr>
          <w:p w14:paraId="4770E51B">
            <w:pPr>
              <w:spacing w:before="98" w:line="229" w:lineRule="auto"/>
              <w:ind w:left="115"/>
              <w:rPr>
                <w:rFonts w:ascii="宋体" w:hAnsi="宋体" w:cs="宋体"/>
                <w:sz w:val="24"/>
                <w:szCs w:val="24"/>
              </w:rPr>
            </w:pPr>
            <w:r>
              <w:rPr>
                <w:rFonts w:ascii="宋体" w:hAnsi="宋体" w:cs="宋体"/>
                <w:spacing w:val="6"/>
                <w:sz w:val="24"/>
                <w:szCs w:val="24"/>
              </w:rPr>
              <w:t>序</w:t>
            </w:r>
            <w:r>
              <w:rPr>
                <w:rFonts w:ascii="宋体" w:hAnsi="宋体" w:cs="宋体"/>
                <w:spacing w:val="5"/>
                <w:sz w:val="24"/>
                <w:szCs w:val="24"/>
              </w:rPr>
              <w:t>号</w:t>
            </w:r>
          </w:p>
        </w:tc>
        <w:tc>
          <w:tcPr>
            <w:tcW w:w="1961" w:type="dxa"/>
            <w:noWrap w:val="0"/>
            <w:vAlign w:val="top"/>
          </w:tcPr>
          <w:p w14:paraId="1CC7435D">
            <w:pPr>
              <w:spacing w:before="98" w:line="227" w:lineRule="auto"/>
              <w:ind w:left="112"/>
              <w:rPr>
                <w:rFonts w:ascii="宋体" w:hAnsi="宋体" w:cs="宋体"/>
                <w:sz w:val="24"/>
                <w:szCs w:val="24"/>
              </w:rPr>
            </w:pPr>
            <w:r>
              <w:rPr>
                <w:rFonts w:ascii="宋体" w:hAnsi="宋体" w:cs="宋体"/>
                <w:spacing w:val="10"/>
                <w:sz w:val="24"/>
                <w:szCs w:val="24"/>
              </w:rPr>
              <w:t>材</w:t>
            </w:r>
            <w:r>
              <w:rPr>
                <w:rFonts w:ascii="宋体" w:hAnsi="宋体" w:cs="宋体"/>
                <w:spacing w:val="8"/>
                <w:sz w:val="24"/>
                <w:szCs w:val="24"/>
              </w:rPr>
              <w:t>料设备名称</w:t>
            </w:r>
          </w:p>
        </w:tc>
        <w:tc>
          <w:tcPr>
            <w:tcW w:w="2435" w:type="dxa"/>
            <w:noWrap w:val="0"/>
            <w:vAlign w:val="top"/>
          </w:tcPr>
          <w:p w14:paraId="3D7CE682">
            <w:pPr>
              <w:spacing w:before="99" w:line="227" w:lineRule="auto"/>
              <w:ind w:left="595"/>
              <w:rPr>
                <w:rFonts w:ascii="宋体" w:hAnsi="宋体" w:cs="宋体"/>
                <w:sz w:val="24"/>
                <w:szCs w:val="24"/>
              </w:rPr>
            </w:pPr>
            <w:r>
              <w:rPr>
                <w:rFonts w:ascii="宋体" w:hAnsi="宋体" w:cs="宋体"/>
                <w:spacing w:val="8"/>
                <w:sz w:val="24"/>
                <w:szCs w:val="24"/>
              </w:rPr>
              <w:t>规</w:t>
            </w:r>
            <w:r>
              <w:rPr>
                <w:rFonts w:ascii="宋体" w:hAnsi="宋体" w:cs="宋体"/>
                <w:spacing w:val="7"/>
                <w:sz w:val="24"/>
                <w:szCs w:val="24"/>
              </w:rPr>
              <w:t>格型号</w:t>
            </w:r>
          </w:p>
        </w:tc>
        <w:tc>
          <w:tcPr>
            <w:tcW w:w="1781" w:type="dxa"/>
            <w:noWrap w:val="0"/>
            <w:vAlign w:val="top"/>
          </w:tcPr>
          <w:p w14:paraId="6D423322">
            <w:pPr>
              <w:spacing w:before="99" w:line="227" w:lineRule="auto"/>
              <w:ind w:left="118"/>
              <w:rPr>
                <w:rFonts w:ascii="宋体" w:hAnsi="宋体" w:cs="宋体"/>
                <w:sz w:val="24"/>
                <w:szCs w:val="24"/>
              </w:rPr>
            </w:pPr>
            <w:r>
              <w:rPr>
                <w:rFonts w:ascii="宋体" w:hAnsi="宋体" w:cs="宋体"/>
                <w:spacing w:val="10"/>
                <w:sz w:val="24"/>
                <w:szCs w:val="24"/>
              </w:rPr>
              <w:t>厂</w:t>
            </w:r>
            <w:r>
              <w:rPr>
                <w:rFonts w:ascii="宋体" w:hAnsi="宋体" w:cs="宋体"/>
                <w:spacing w:val="7"/>
                <w:sz w:val="24"/>
                <w:szCs w:val="24"/>
              </w:rPr>
              <w:t>家/品牌名称</w:t>
            </w:r>
          </w:p>
        </w:tc>
        <w:tc>
          <w:tcPr>
            <w:tcW w:w="2203" w:type="dxa"/>
            <w:noWrap w:val="0"/>
            <w:vAlign w:val="top"/>
          </w:tcPr>
          <w:p w14:paraId="735FEDB7">
            <w:pPr>
              <w:spacing w:before="98" w:line="229" w:lineRule="auto"/>
              <w:ind w:left="598"/>
              <w:rPr>
                <w:rFonts w:ascii="宋体" w:hAnsi="宋体" w:cs="宋体"/>
                <w:sz w:val="24"/>
                <w:szCs w:val="24"/>
              </w:rPr>
            </w:pPr>
            <w:r>
              <w:rPr>
                <w:rFonts w:ascii="宋体" w:hAnsi="宋体" w:cs="宋体"/>
                <w:spacing w:val="4"/>
                <w:sz w:val="24"/>
                <w:szCs w:val="24"/>
              </w:rPr>
              <w:t>备</w:t>
            </w:r>
            <w:r>
              <w:rPr>
                <w:rFonts w:ascii="宋体" w:hAnsi="宋体" w:cs="宋体"/>
                <w:spacing w:val="3"/>
                <w:sz w:val="24"/>
                <w:szCs w:val="24"/>
              </w:rPr>
              <w:t>注</w:t>
            </w:r>
          </w:p>
        </w:tc>
      </w:tr>
      <w:tr w14:paraId="2B8D751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0" w:hRule="atLeast"/>
          <w:jc w:val="center"/>
        </w:trPr>
        <w:tc>
          <w:tcPr>
            <w:tcW w:w="856" w:type="dxa"/>
            <w:noWrap w:val="0"/>
            <w:vAlign w:val="top"/>
          </w:tcPr>
          <w:p w14:paraId="1A3960C9">
            <w:pPr>
              <w:rPr>
                <w:rFonts w:ascii="Arial"/>
              </w:rPr>
            </w:pPr>
          </w:p>
        </w:tc>
        <w:tc>
          <w:tcPr>
            <w:tcW w:w="1961" w:type="dxa"/>
            <w:noWrap w:val="0"/>
            <w:vAlign w:val="top"/>
          </w:tcPr>
          <w:p w14:paraId="4AB4E3D0">
            <w:pPr>
              <w:rPr>
                <w:rFonts w:ascii="Arial"/>
              </w:rPr>
            </w:pPr>
          </w:p>
        </w:tc>
        <w:tc>
          <w:tcPr>
            <w:tcW w:w="2435" w:type="dxa"/>
            <w:noWrap w:val="0"/>
            <w:vAlign w:val="top"/>
          </w:tcPr>
          <w:p w14:paraId="1469062D">
            <w:pPr>
              <w:rPr>
                <w:rFonts w:ascii="Arial"/>
              </w:rPr>
            </w:pPr>
          </w:p>
        </w:tc>
        <w:tc>
          <w:tcPr>
            <w:tcW w:w="1781" w:type="dxa"/>
            <w:noWrap w:val="0"/>
            <w:vAlign w:val="top"/>
          </w:tcPr>
          <w:p w14:paraId="1E71AEC3">
            <w:pPr>
              <w:rPr>
                <w:rFonts w:ascii="Arial"/>
              </w:rPr>
            </w:pPr>
          </w:p>
        </w:tc>
        <w:tc>
          <w:tcPr>
            <w:tcW w:w="2203" w:type="dxa"/>
            <w:noWrap w:val="0"/>
            <w:vAlign w:val="top"/>
          </w:tcPr>
          <w:p w14:paraId="4BDD8897">
            <w:pPr>
              <w:rPr>
                <w:rFonts w:ascii="Arial"/>
              </w:rPr>
            </w:pPr>
          </w:p>
        </w:tc>
      </w:tr>
      <w:tr w14:paraId="7C936E8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0" w:hRule="atLeast"/>
          <w:jc w:val="center"/>
        </w:trPr>
        <w:tc>
          <w:tcPr>
            <w:tcW w:w="856" w:type="dxa"/>
            <w:noWrap w:val="0"/>
            <w:vAlign w:val="top"/>
          </w:tcPr>
          <w:p w14:paraId="0688BF10">
            <w:pPr>
              <w:rPr>
                <w:rFonts w:ascii="Arial"/>
              </w:rPr>
            </w:pPr>
          </w:p>
        </w:tc>
        <w:tc>
          <w:tcPr>
            <w:tcW w:w="1961" w:type="dxa"/>
            <w:noWrap w:val="0"/>
            <w:vAlign w:val="top"/>
          </w:tcPr>
          <w:p w14:paraId="3BC0E6E8">
            <w:pPr>
              <w:rPr>
                <w:rFonts w:ascii="Arial"/>
              </w:rPr>
            </w:pPr>
          </w:p>
        </w:tc>
        <w:tc>
          <w:tcPr>
            <w:tcW w:w="2435" w:type="dxa"/>
            <w:noWrap w:val="0"/>
            <w:vAlign w:val="top"/>
          </w:tcPr>
          <w:p w14:paraId="26A3284B">
            <w:pPr>
              <w:rPr>
                <w:rFonts w:ascii="Arial"/>
              </w:rPr>
            </w:pPr>
          </w:p>
        </w:tc>
        <w:tc>
          <w:tcPr>
            <w:tcW w:w="1781" w:type="dxa"/>
            <w:noWrap w:val="0"/>
            <w:vAlign w:val="top"/>
          </w:tcPr>
          <w:p w14:paraId="2C38D16D">
            <w:pPr>
              <w:rPr>
                <w:rFonts w:ascii="Arial"/>
              </w:rPr>
            </w:pPr>
          </w:p>
        </w:tc>
        <w:tc>
          <w:tcPr>
            <w:tcW w:w="2203" w:type="dxa"/>
            <w:noWrap w:val="0"/>
            <w:vAlign w:val="top"/>
          </w:tcPr>
          <w:p w14:paraId="72C18578">
            <w:pPr>
              <w:rPr>
                <w:rFonts w:ascii="Arial"/>
              </w:rPr>
            </w:pPr>
          </w:p>
        </w:tc>
      </w:tr>
      <w:tr w14:paraId="5DDF81D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0" w:hRule="atLeast"/>
          <w:jc w:val="center"/>
        </w:trPr>
        <w:tc>
          <w:tcPr>
            <w:tcW w:w="856" w:type="dxa"/>
            <w:noWrap w:val="0"/>
            <w:vAlign w:val="top"/>
          </w:tcPr>
          <w:p w14:paraId="10734870">
            <w:pPr>
              <w:rPr>
                <w:rFonts w:ascii="Arial"/>
              </w:rPr>
            </w:pPr>
          </w:p>
        </w:tc>
        <w:tc>
          <w:tcPr>
            <w:tcW w:w="1961" w:type="dxa"/>
            <w:noWrap w:val="0"/>
            <w:vAlign w:val="top"/>
          </w:tcPr>
          <w:p w14:paraId="562F6698">
            <w:pPr>
              <w:rPr>
                <w:rFonts w:ascii="Arial"/>
              </w:rPr>
            </w:pPr>
          </w:p>
        </w:tc>
        <w:tc>
          <w:tcPr>
            <w:tcW w:w="2435" w:type="dxa"/>
            <w:noWrap w:val="0"/>
            <w:vAlign w:val="top"/>
          </w:tcPr>
          <w:p w14:paraId="1DFBECD3">
            <w:pPr>
              <w:rPr>
                <w:rFonts w:ascii="Arial"/>
              </w:rPr>
            </w:pPr>
          </w:p>
        </w:tc>
        <w:tc>
          <w:tcPr>
            <w:tcW w:w="1781" w:type="dxa"/>
            <w:noWrap w:val="0"/>
            <w:vAlign w:val="top"/>
          </w:tcPr>
          <w:p w14:paraId="1127E760">
            <w:pPr>
              <w:rPr>
                <w:rFonts w:ascii="Arial"/>
              </w:rPr>
            </w:pPr>
          </w:p>
        </w:tc>
        <w:tc>
          <w:tcPr>
            <w:tcW w:w="2203" w:type="dxa"/>
            <w:noWrap w:val="0"/>
            <w:vAlign w:val="top"/>
          </w:tcPr>
          <w:p w14:paraId="1CC51B88">
            <w:pPr>
              <w:rPr>
                <w:rFonts w:ascii="Arial"/>
              </w:rPr>
            </w:pPr>
          </w:p>
        </w:tc>
      </w:tr>
      <w:tr w14:paraId="212DDEC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0" w:hRule="atLeast"/>
          <w:jc w:val="center"/>
        </w:trPr>
        <w:tc>
          <w:tcPr>
            <w:tcW w:w="856" w:type="dxa"/>
            <w:noWrap w:val="0"/>
            <w:vAlign w:val="top"/>
          </w:tcPr>
          <w:p w14:paraId="654BA9C6">
            <w:pPr>
              <w:rPr>
                <w:rFonts w:ascii="Arial"/>
              </w:rPr>
            </w:pPr>
          </w:p>
        </w:tc>
        <w:tc>
          <w:tcPr>
            <w:tcW w:w="1961" w:type="dxa"/>
            <w:noWrap w:val="0"/>
            <w:vAlign w:val="top"/>
          </w:tcPr>
          <w:p w14:paraId="1104617F">
            <w:pPr>
              <w:rPr>
                <w:rFonts w:ascii="Arial"/>
              </w:rPr>
            </w:pPr>
          </w:p>
        </w:tc>
        <w:tc>
          <w:tcPr>
            <w:tcW w:w="2435" w:type="dxa"/>
            <w:noWrap w:val="0"/>
            <w:vAlign w:val="top"/>
          </w:tcPr>
          <w:p w14:paraId="568D6FC0">
            <w:pPr>
              <w:rPr>
                <w:rFonts w:ascii="Arial"/>
              </w:rPr>
            </w:pPr>
          </w:p>
        </w:tc>
        <w:tc>
          <w:tcPr>
            <w:tcW w:w="1781" w:type="dxa"/>
            <w:noWrap w:val="0"/>
            <w:vAlign w:val="top"/>
          </w:tcPr>
          <w:p w14:paraId="391D30AF">
            <w:pPr>
              <w:rPr>
                <w:rFonts w:ascii="Arial"/>
              </w:rPr>
            </w:pPr>
          </w:p>
        </w:tc>
        <w:tc>
          <w:tcPr>
            <w:tcW w:w="2203" w:type="dxa"/>
            <w:noWrap w:val="0"/>
            <w:vAlign w:val="top"/>
          </w:tcPr>
          <w:p w14:paraId="347FA646">
            <w:pPr>
              <w:rPr>
                <w:rFonts w:ascii="Arial"/>
              </w:rPr>
            </w:pPr>
          </w:p>
        </w:tc>
      </w:tr>
      <w:tr w14:paraId="6B004FF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0" w:hRule="atLeast"/>
          <w:jc w:val="center"/>
        </w:trPr>
        <w:tc>
          <w:tcPr>
            <w:tcW w:w="856" w:type="dxa"/>
            <w:noWrap w:val="0"/>
            <w:vAlign w:val="top"/>
          </w:tcPr>
          <w:p w14:paraId="3D6E472D">
            <w:pPr>
              <w:rPr>
                <w:rFonts w:ascii="Arial"/>
              </w:rPr>
            </w:pPr>
          </w:p>
        </w:tc>
        <w:tc>
          <w:tcPr>
            <w:tcW w:w="1961" w:type="dxa"/>
            <w:noWrap w:val="0"/>
            <w:vAlign w:val="top"/>
          </w:tcPr>
          <w:p w14:paraId="1E2E9F97">
            <w:pPr>
              <w:rPr>
                <w:rFonts w:ascii="Arial"/>
              </w:rPr>
            </w:pPr>
          </w:p>
        </w:tc>
        <w:tc>
          <w:tcPr>
            <w:tcW w:w="2435" w:type="dxa"/>
            <w:noWrap w:val="0"/>
            <w:vAlign w:val="top"/>
          </w:tcPr>
          <w:p w14:paraId="374B51F9">
            <w:pPr>
              <w:rPr>
                <w:rFonts w:ascii="Arial"/>
              </w:rPr>
            </w:pPr>
          </w:p>
        </w:tc>
        <w:tc>
          <w:tcPr>
            <w:tcW w:w="1781" w:type="dxa"/>
            <w:noWrap w:val="0"/>
            <w:vAlign w:val="top"/>
          </w:tcPr>
          <w:p w14:paraId="35AE2387">
            <w:pPr>
              <w:rPr>
                <w:rFonts w:ascii="Arial"/>
              </w:rPr>
            </w:pPr>
          </w:p>
        </w:tc>
        <w:tc>
          <w:tcPr>
            <w:tcW w:w="2203" w:type="dxa"/>
            <w:noWrap w:val="0"/>
            <w:vAlign w:val="top"/>
          </w:tcPr>
          <w:p w14:paraId="1413022D">
            <w:pPr>
              <w:rPr>
                <w:rFonts w:ascii="Arial"/>
              </w:rPr>
            </w:pPr>
          </w:p>
        </w:tc>
      </w:tr>
      <w:tr w14:paraId="54D07A7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0" w:hRule="atLeast"/>
          <w:jc w:val="center"/>
        </w:trPr>
        <w:tc>
          <w:tcPr>
            <w:tcW w:w="856" w:type="dxa"/>
            <w:noWrap w:val="0"/>
            <w:vAlign w:val="top"/>
          </w:tcPr>
          <w:p w14:paraId="2B21A2A6">
            <w:pPr>
              <w:rPr>
                <w:rFonts w:ascii="Arial"/>
              </w:rPr>
            </w:pPr>
          </w:p>
        </w:tc>
        <w:tc>
          <w:tcPr>
            <w:tcW w:w="1961" w:type="dxa"/>
            <w:noWrap w:val="0"/>
            <w:vAlign w:val="top"/>
          </w:tcPr>
          <w:p w14:paraId="229DD590">
            <w:pPr>
              <w:rPr>
                <w:rFonts w:ascii="Arial"/>
              </w:rPr>
            </w:pPr>
          </w:p>
        </w:tc>
        <w:tc>
          <w:tcPr>
            <w:tcW w:w="2435" w:type="dxa"/>
            <w:noWrap w:val="0"/>
            <w:vAlign w:val="top"/>
          </w:tcPr>
          <w:p w14:paraId="7627DE99">
            <w:pPr>
              <w:rPr>
                <w:rFonts w:ascii="Arial"/>
              </w:rPr>
            </w:pPr>
          </w:p>
        </w:tc>
        <w:tc>
          <w:tcPr>
            <w:tcW w:w="1781" w:type="dxa"/>
            <w:noWrap w:val="0"/>
            <w:vAlign w:val="top"/>
          </w:tcPr>
          <w:p w14:paraId="177EB827">
            <w:pPr>
              <w:rPr>
                <w:rFonts w:ascii="Arial"/>
              </w:rPr>
            </w:pPr>
          </w:p>
        </w:tc>
        <w:tc>
          <w:tcPr>
            <w:tcW w:w="2203" w:type="dxa"/>
            <w:noWrap w:val="0"/>
            <w:vAlign w:val="top"/>
          </w:tcPr>
          <w:p w14:paraId="32E0EC3F">
            <w:pPr>
              <w:rPr>
                <w:rFonts w:ascii="Arial"/>
              </w:rPr>
            </w:pPr>
          </w:p>
        </w:tc>
      </w:tr>
      <w:tr w14:paraId="0D71592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0" w:hRule="atLeast"/>
          <w:jc w:val="center"/>
        </w:trPr>
        <w:tc>
          <w:tcPr>
            <w:tcW w:w="856" w:type="dxa"/>
            <w:noWrap w:val="0"/>
            <w:vAlign w:val="top"/>
          </w:tcPr>
          <w:p w14:paraId="212EFCF7">
            <w:pPr>
              <w:rPr>
                <w:rFonts w:ascii="Arial"/>
              </w:rPr>
            </w:pPr>
          </w:p>
        </w:tc>
        <w:tc>
          <w:tcPr>
            <w:tcW w:w="1961" w:type="dxa"/>
            <w:noWrap w:val="0"/>
            <w:vAlign w:val="top"/>
          </w:tcPr>
          <w:p w14:paraId="658636D1">
            <w:pPr>
              <w:rPr>
                <w:rFonts w:ascii="Arial"/>
              </w:rPr>
            </w:pPr>
          </w:p>
        </w:tc>
        <w:tc>
          <w:tcPr>
            <w:tcW w:w="2435" w:type="dxa"/>
            <w:noWrap w:val="0"/>
            <w:vAlign w:val="top"/>
          </w:tcPr>
          <w:p w14:paraId="67CB68E3">
            <w:pPr>
              <w:rPr>
                <w:rFonts w:ascii="Arial"/>
              </w:rPr>
            </w:pPr>
          </w:p>
        </w:tc>
        <w:tc>
          <w:tcPr>
            <w:tcW w:w="1781" w:type="dxa"/>
            <w:noWrap w:val="0"/>
            <w:vAlign w:val="top"/>
          </w:tcPr>
          <w:p w14:paraId="2E3CEDF3">
            <w:pPr>
              <w:rPr>
                <w:rFonts w:ascii="Arial"/>
              </w:rPr>
            </w:pPr>
          </w:p>
        </w:tc>
        <w:tc>
          <w:tcPr>
            <w:tcW w:w="2203" w:type="dxa"/>
            <w:noWrap w:val="0"/>
            <w:vAlign w:val="top"/>
          </w:tcPr>
          <w:p w14:paraId="10E31367">
            <w:pPr>
              <w:rPr>
                <w:rFonts w:ascii="Arial"/>
              </w:rPr>
            </w:pPr>
          </w:p>
        </w:tc>
      </w:tr>
      <w:tr w14:paraId="63C8625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59" w:hRule="atLeast"/>
          <w:jc w:val="center"/>
        </w:trPr>
        <w:tc>
          <w:tcPr>
            <w:tcW w:w="856" w:type="dxa"/>
            <w:noWrap w:val="0"/>
            <w:vAlign w:val="top"/>
          </w:tcPr>
          <w:p w14:paraId="73FF2E64">
            <w:pPr>
              <w:rPr>
                <w:rFonts w:ascii="Arial"/>
              </w:rPr>
            </w:pPr>
          </w:p>
        </w:tc>
        <w:tc>
          <w:tcPr>
            <w:tcW w:w="1961" w:type="dxa"/>
            <w:noWrap w:val="0"/>
            <w:vAlign w:val="top"/>
          </w:tcPr>
          <w:p w14:paraId="63170888">
            <w:pPr>
              <w:rPr>
                <w:rFonts w:ascii="Arial"/>
              </w:rPr>
            </w:pPr>
          </w:p>
        </w:tc>
        <w:tc>
          <w:tcPr>
            <w:tcW w:w="2435" w:type="dxa"/>
            <w:noWrap w:val="0"/>
            <w:vAlign w:val="top"/>
          </w:tcPr>
          <w:p w14:paraId="75ACEEC8">
            <w:pPr>
              <w:rPr>
                <w:rFonts w:ascii="Arial"/>
              </w:rPr>
            </w:pPr>
          </w:p>
        </w:tc>
        <w:tc>
          <w:tcPr>
            <w:tcW w:w="1781" w:type="dxa"/>
            <w:noWrap w:val="0"/>
            <w:vAlign w:val="top"/>
          </w:tcPr>
          <w:p w14:paraId="62082FE5">
            <w:pPr>
              <w:rPr>
                <w:rFonts w:ascii="Arial"/>
              </w:rPr>
            </w:pPr>
          </w:p>
        </w:tc>
        <w:tc>
          <w:tcPr>
            <w:tcW w:w="2203" w:type="dxa"/>
            <w:noWrap w:val="0"/>
            <w:vAlign w:val="top"/>
          </w:tcPr>
          <w:p w14:paraId="01EA0D0B">
            <w:pPr>
              <w:rPr>
                <w:rFonts w:ascii="Arial"/>
              </w:rPr>
            </w:pPr>
          </w:p>
        </w:tc>
      </w:tr>
      <w:tr w14:paraId="13B4058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89" w:hRule="atLeast"/>
          <w:jc w:val="center"/>
        </w:trPr>
        <w:tc>
          <w:tcPr>
            <w:tcW w:w="856" w:type="dxa"/>
            <w:noWrap w:val="0"/>
            <w:vAlign w:val="top"/>
          </w:tcPr>
          <w:p w14:paraId="78C86A88">
            <w:pPr>
              <w:rPr>
                <w:rFonts w:ascii="Arial"/>
              </w:rPr>
            </w:pPr>
          </w:p>
        </w:tc>
        <w:tc>
          <w:tcPr>
            <w:tcW w:w="1961" w:type="dxa"/>
            <w:noWrap w:val="0"/>
            <w:vAlign w:val="top"/>
          </w:tcPr>
          <w:p w14:paraId="5A5E6C2B">
            <w:pPr>
              <w:rPr>
                <w:rFonts w:ascii="Arial"/>
              </w:rPr>
            </w:pPr>
          </w:p>
        </w:tc>
        <w:tc>
          <w:tcPr>
            <w:tcW w:w="2435" w:type="dxa"/>
            <w:noWrap w:val="0"/>
            <w:vAlign w:val="top"/>
          </w:tcPr>
          <w:p w14:paraId="03372CBB">
            <w:pPr>
              <w:rPr>
                <w:rFonts w:ascii="Arial"/>
              </w:rPr>
            </w:pPr>
          </w:p>
        </w:tc>
        <w:tc>
          <w:tcPr>
            <w:tcW w:w="1781" w:type="dxa"/>
            <w:noWrap w:val="0"/>
            <w:vAlign w:val="top"/>
          </w:tcPr>
          <w:p w14:paraId="16085822">
            <w:pPr>
              <w:rPr>
                <w:rFonts w:ascii="Arial"/>
              </w:rPr>
            </w:pPr>
          </w:p>
        </w:tc>
        <w:tc>
          <w:tcPr>
            <w:tcW w:w="2203" w:type="dxa"/>
            <w:noWrap w:val="0"/>
            <w:vAlign w:val="top"/>
          </w:tcPr>
          <w:p w14:paraId="5D4B5B32">
            <w:pPr>
              <w:rPr>
                <w:rFonts w:ascii="Arial"/>
              </w:rPr>
            </w:pPr>
          </w:p>
        </w:tc>
      </w:tr>
      <w:tr w14:paraId="6E556B7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0" w:hRule="atLeast"/>
          <w:jc w:val="center"/>
        </w:trPr>
        <w:tc>
          <w:tcPr>
            <w:tcW w:w="856" w:type="dxa"/>
            <w:noWrap w:val="0"/>
            <w:vAlign w:val="top"/>
          </w:tcPr>
          <w:p w14:paraId="6FA3DBE7">
            <w:pPr>
              <w:rPr>
                <w:rFonts w:ascii="Arial"/>
              </w:rPr>
            </w:pPr>
          </w:p>
        </w:tc>
        <w:tc>
          <w:tcPr>
            <w:tcW w:w="1961" w:type="dxa"/>
            <w:noWrap w:val="0"/>
            <w:vAlign w:val="top"/>
          </w:tcPr>
          <w:p w14:paraId="1A49A83F">
            <w:pPr>
              <w:rPr>
                <w:rFonts w:ascii="Arial"/>
              </w:rPr>
            </w:pPr>
          </w:p>
        </w:tc>
        <w:tc>
          <w:tcPr>
            <w:tcW w:w="2435" w:type="dxa"/>
            <w:noWrap w:val="0"/>
            <w:vAlign w:val="top"/>
          </w:tcPr>
          <w:p w14:paraId="6BAB9E4A">
            <w:pPr>
              <w:rPr>
                <w:rFonts w:ascii="Arial"/>
              </w:rPr>
            </w:pPr>
          </w:p>
        </w:tc>
        <w:tc>
          <w:tcPr>
            <w:tcW w:w="1781" w:type="dxa"/>
            <w:noWrap w:val="0"/>
            <w:vAlign w:val="top"/>
          </w:tcPr>
          <w:p w14:paraId="399B16E2">
            <w:pPr>
              <w:rPr>
                <w:rFonts w:ascii="Arial"/>
              </w:rPr>
            </w:pPr>
          </w:p>
        </w:tc>
        <w:tc>
          <w:tcPr>
            <w:tcW w:w="2203" w:type="dxa"/>
            <w:noWrap w:val="0"/>
            <w:vAlign w:val="top"/>
          </w:tcPr>
          <w:p w14:paraId="7F180240">
            <w:pPr>
              <w:rPr>
                <w:rFonts w:ascii="Arial"/>
              </w:rPr>
            </w:pPr>
          </w:p>
        </w:tc>
      </w:tr>
      <w:tr w14:paraId="618CD4C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0" w:hRule="atLeast"/>
          <w:jc w:val="center"/>
        </w:trPr>
        <w:tc>
          <w:tcPr>
            <w:tcW w:w="856" w:type="dxa"/>
            <w:noWrap w:val="0"/>
            <w:vAlign w:val="top"/>
          </w:tcPr>
          <w:p w14:paraId="45672CA4">
            <w:pPr>
              <w:rPr>
                <w:rFonts w:ascii="Arial"/>
              </w:rPr>
            </w:pPr>
          </w:p>
        </w:tc>
        <w:tc>
          <w:tcPr>
            <w:tcW w:w="1961" w:type="dxa"/>
            <w:noWrap w:val="0"/>
            <w:vAlign w:val="top"/>
          </w:tcPr>
          <w:p w14:paraId="70B3A421">
            <w:pPr>
              <w:rPr>
                <w:rFonts w:ascii="Arial"/>
              </w:rPr>
            </w:pPr>
          </w:p>
        </w:tc>
        <w:tc>
          <w:tcPr>
            <w:tcW w:w="2435" w:type="dxa"/>
            <w:noWrap w:val="0"/>
            <w:vAlign w:val="top"/>
          </w:tcPr>
          <w:p w14:paraId="3FE0A1F3">
            <w:pPr>
              <w:rPr>
                <w:rFonts w:ascii="Arial"/>
              </w:rPr>
            </w:pPr>
          </w:p>
        </w:tc>
        <w:tc>
          <w:tcPr>
            <w:tcW w:w="1781" w:type="dxa"/>
            <w:noWrap w:val="0"/>
            <w:vAlign w:val="top"/>
          </w:tcPr>
          <w:p w14:paraId="60A9848E">
            <w:pPr>
              <w:rPr>
                <w:rFonts w:ascii="Arial"/>
              </w:rPr>
            </w:pPr>
          </w:p>
        </w:tc>
        <w:tc>
          <w:tcPr>
            <w:tcW w:w="2203" w:type="dxa"/>
            <w:noWrap w:val="0"/>
            <w:vAlign w:val="top"/>
          </w:tcPr>
          <w:p w14:paraId="0095E092">
            <w:pPr>
              <w:rPr>
                <w:rFonts w:ascii="Arial"/>
              </w:rPr>
            </w:pPr>
          </w:p>
        </w:tc>
      </w:tr>
      <w:tr w14:paraId="4A11E95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0" w:hRule="atLeast"/>
          <w:jc w:val="center"/>
        </w:trPr>
        <w:tc>
          <w:tcPr>
            <w:tcW w:w="856" w:type="dxa"/>
            <w:noWrap w:val="0"/>
            <w:vAlign w:val="top"/>
          </w:tcPr>
          <w:p w14:paraId="003905E7">
            <w:pPr>
              <w:rPr>
                <w:rFonts w:ascii="Arial"/>
              </w:rPr>
            </w:pPr>
          </w:p>
        </w:tc>
        <w:tc>
          <w:tcPr>
            <w:tcW w:w="1961" w:type="dxa"/>
            <w:noWrap w:val="0"/>
            <w:vAlign w:val="top"/>
          </w:tcPr>
          <w:p w14:paraId="75E94F66">
            <w:pPr>
              <w:rPr>
                <w:rFonts w:ascii="Arial"/>
              </w:rPr>
            </w:pPr>
          </w:p>
        </w:tc>
        <w:tc>
          <w:tcPr>
            <w:tcW w:w="2435" w:type="dxa"/>
            <w:noWrap w:val="0"/>
            <w:vAlign w:val="top"/>
          </w:tcPr>
          <w:p w14:paraId="0F557504">
            <w:pPr>
              <w:rPr>
                <w:rFonts w:ascii="Arial"/>
              </w:rPr>
            </w:pPr>
          </w:p>
        </w:tc>
        <w:tc>
          <w:tcPr>
            <w:tcW w:w="1781" w:type="dxa"/>
            <w:noWrap w:val="0"/>
            <w:vAlign w:val="top"/>
          </w:tcPr>
          <w:p w14:paraId="7655DB71">
            <w:pPr>
              <w:rPr>
                <w:rFonts w:ascii="Arial"/>
              </w:rPr>
            </w:pPr>
          </w:p>
        </w:tc>
        <w:tc>
          <w:tcPr>
            <w:tcW w:w="2203" w:type="dxa"/>
            <w:noWrap w:val="0"/>
            <w:vAlign w:val="top"/>
          </w:tcPr>
          <w:p w14:paraId="5E9477B0">
            <w:pPr>
              <w:rPr>
                <w:rFonts w:ascii="Arial"/>
              </w:rPr>
            </w:pPr>
          </w:p>
        </w:tc>
      </w:tr>
      <w:tr w14:paraId="6BB71AC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89" w:hRule="atLeast"/>
          <w:jc w:val="center"/>
        </w:trPr>
        <w:tc>
          <w:tcPr>
            <w:tcW w:w="856" w:type="dxa"/>
            <w:noWrap w:val="0"/>
            <w:vAlign w:val="top"/>
          </w:tcPr>
          <w:p w14:paraId="0993C7E0">
            <w:pPr>
              <w:rPr>
                <w:rFonts w:ascii="Arial"/>
              </w:rPr>
            </w:pPr>
          </w:p>
        </w:tc>
        <w:tc>
          <w:tcPr>
            <w:tcW w:w="1961" w:type="dxa"/>
            <w:noWrap w:val="0"/>
            <w:vAlign w:val="top"/>
          </w:tcPr>
          <w:p w14:paraId="7678D639">
            <w:pPr>
              <w:rPr>
                <w:rFonts w:ascii="Arial"/>
              </w:rPr>
            </w:pPr>
          </w:p>
        </w:tc>
        <w:tc>
          <w:tcPr>
            <w:tcW w:w="2435" w:type="dxa"/>
            <w:noWrap w:val="0"/>
            <w:vAlign w:val="top"/>
          </w:tcPr>
          <w:p w14:paraId="0FFFDFA5">
            <w:pPr>
              <w:rPr>
                <w:rFonts w:ascii="Arial"/>
              </w:rPr>
            </w:pPr>
          </w:p>
        </w:tc>
        <w:tc>
          <w:tcPr>
            <w:tcW w:w="1781" w:type="dxa"/>
            <w:noWrap w:val="0"/>
            <w:vAlign w:val="top"/>
          </w:tcPr>
          <w:p w14:paraId="4960B12F">
            <w:pPr>
              <w:rPr>
                <w:rFonts w:ascii="Arial"/>
              </w:rPr>
            </w:pPr>
          </w:p>
        </w:tc>
        <w:tc>
          <w:tcPr>
            <w:tcW w:w="2203" w:type="dxa"/>
            <w:noWrap w:val="0"/>
            <w:vAlign w:val="top"/>
          </w:tcPr>
          <w:p w14:paraId="34C237DE">
            <w:pPr>
              <w:rPr>
                <w:rFonts w:ascii="Arial"/>
              </w:rPr>
            </w:pPr>
          </w:p>
        </w:tc>
      </w:tr>
      <w:tr w14:paraId="497C866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0" w:hRule="atLeast"/>
          <w:jc w:val="center"/>
        </w:trPr>
        <w:tc>
          <w:tcPr>
            <w:tcW w:w="856" w:type="dxa"/>
            <w:noWrap w:val="0"/>
            <w:vAlign w:val="top"/>
          </w:tcPr>
          <w:p w14:paraId="180F8947">
            <w:pPr>
              <w:rPr>
                <w:rFonts w:ascii="Arial"/>
              </w:rPr>
            </w:pPr>
          </w:p>
        </w:tc>
        <w:tc>
          <w:tcPr>
            <w:tcW w:w="1961" w:type="dxa"/>
            <w:noWrap w:val="0"/>
            <w:vAlign w:val="top"/>
          </w:tcPr>
          <w:p w14:paraId="33074E49">
            <w:pPr>
              <w:rPr>
                <w:rFonts w:ascii="Arial"/>
              </w:rPr>
            </w:pPr>
          </w:p>
        </w:tc>
        <w:tc>
          <w:tcPr>
            <w:tcW w:w="2435" w:type="dxa"/>
            <w:noWrap w:val="0"/>
            <w:vAlign w:val="top"/>
          </w:tcPr>
          <w:p w14:paraId="234BF32E">
            <w:pPr>
              <w:rPr>
                <w:rFonts w:ascii="Arial"/>
              </w:rPr>
            </w:pPr>
          </w:p>
        </w:tc>
        <w:tc>
          <w:tcPr>
            <w:tcW w:w="1781" w:type="dxa"/>
            <w:noWrap w:val="0"/>
            <w:vAlign w:val="top"/>
          </w:tcPr>
          <w:p w14:paraId="3CB09EA7">
            <w:pPr>
              <w:rPr>
                <w:rFonts w:ascii="Arial"/>
              </w:rPr>
            </w:pPr>
          </w:p>
        </w:tc>
        <w:tc>
          <w:tcPr>
            <w:tcW w:w="2203" w:type="dxa"/>
            <w:noWrap w:val="0"/>
            <w:vAlign w:val="top"/>
          </w:tcPr>
          <w:p w14:paraId="5F18E5B0">
            <w:pPr>
              <w:rPr>
                <w:rFonts w:ascii="Arial"/>
              </w:rPr>
            </w:pPr>
          </w:p>
        </w:tc>
      </w:tr>
      <w:tr w14:paraId="6EF4D64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89" w:hRule="atLeast"/>
          <w:jc w:val="center"/>
        </w:trPr>
        <w:tc>
          <w:tcPr>
            <w:tcW w:w="856" w:type="dxa"/>
            <w:noWrap w:val="0"/>
            <w:vAlign w:val="top"/>
          </w:tcPr>
          <w:p w14:paraId="2F66387E">
            <w:pPr>
              <w:rPr>
                <w:rFonts w:ascii="Arial"/>
              </w:rPr>
            </w:pPr>
          </w:p>
        </w:tc>
        <w:tc>
          <w:tcPr>
            <w:tcW w:w="1961" w:type="dxa"/>
            <w:noWrap w:val="0"/>
            <w:vAlign w:val="top"/>
          </w:tcPr>
          <w:p w14:paraId="6A39614D">
            <w:pPr>
              <w:rPr>
                <w:rFonts w:ascii="Arial"/>
              </w:rPr>
            </w:pPr>
          </w:p>
        </w:tc>
        <w:tc>
          <w:tcPr>
            <w:tcW w:w="2435" w:type="dxa"/>
            <w:noWrap w:val="0"/>
            <w:vAlign w:val="top"/>
          </w:tcPr>
          <w:p w14:paraId="480731C5">
            <w:pPr>
              <w:rPr>
                <w:rFonts w:ascii="Arial"/>
              </w:rPr>
            </w:pPr>
          </w:p>
        </w:tc>
        <w:tc>
          <w:tcPr>
            <w:tcW w:w="1781" w:type="dxa"/>
            <w:noWrap w:val="0"/>
            <w:vAlign w:val="top"/>
          </w:tcPr>
          <w:p w14:paraId="3F150FD3">
            <w:pPr>
              <w:rPr>
                <w:rFonts w:ascii="Arial"/>
              </w:rPr>
            </w:pPr>
          </w:p>
        </w:tc>
        <w:tc>
          <w:tcPr>
            <w:tcW w:w="2203" w:type="dxa"/>
            <w:noWrap w:val="0"/>
            <w:vAlign w:val="top"/>
          </w:tcPr>
          <w:p w14:paraId="2DC8DB0F">
            <w:pPr>
              <w:rPr>
                <w:rFonts w:ascii="Arial"/>
              </w:rPr>
            </w:pPr>
          </w:p>
        </w:tc>
      </w:tr>
      <w:tr w14:paraId="4EA13F5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99" w:hRule="atLeast"/>
          <w:jc w:val="center"/>
        </w:trPr>
        <w:tc>
          <w:tcPr>
            <w:tcW w:w="856" w:type="dxa"/>
            <w:noWrap w:val="0"/>
            <w:vAlign w:val="top"/>
          </w:tcPr>
          <w:p w14:paraId="62B40193">
            <w:pPr>
              <w:rPr>
                <w:rFonts w:ascii="Arial"/>
              </w:rPr>
            </w:pPr>
          </w:p>
        </w:tc>
        <w:tc>
          <w:tcPr>
            <w:tcW w:w="1961" w:type="dxa"/>
            <w:noWrap w:val="0"/>
            <w:vAlign w:val="top"/>
          </w:tcPr>
          <w:p w14:paraId="7C2C3D7E">
            <w:pPr>
              <w:rPr>
                <w:rFonts w:ascii="Arial"/>
              </w:rPr>
            </w:pPr>
          </w:p>
        </w:tc>
        <w:tc>
          <w:tcPr>
            <w:tcW w:w="2435" w:type="dxa"/>
            <w:noWrap w:val="0"/>
            <w:vAlign w:val="top"/>
          </w:tcPr>
          <w:p w14:paraId="27B31DF3">
            <w:pPr>
              <w:rPr>
                <w:rFonts w:ascii="Arial"/>
              </w:rPr>
            </w:pPr>
          </w:p>
        </w:tc>
        <w:tc>
          <w:tcPr>
            <w:tcW w:w="1781" w:type="dxa"/>
            <w:noWrap w:val="0"/>
            <w:vAlign w:val="top"/>
          </w:tcPr>
          <w:p w14:paraId="1A891343">
            <w:pPr>
              <w:rPr>
                <w:rFonts w:ascii="Arial"/>
              </w:rPr>
            </w:pPr>
          </w:p>
        </w:tc>
        <w:tc>
          <w:tcPr>
            <w:tcW w:w="2203" w:type="dxa"/>
            <w:noWrap w:val="0"/>
            <w:vAlign w:val="top"/>
          </w:tcPr>
          <w:p w14:paraId="4498F7B5">
            <w:pPr>
              <w:rPr>
                <w:rFonts w:ascii="Arial"/>
              </w:rPr>
            </w:pPr>
          </w:p>
        </w:tc>
      </w:tr>
    </w:tbl>
    <w:p w14:paraId="0B7339DF">
      <w:pPr>
        <w:spacing w:before="34" w:line="229" w:lineRule="auto"/>
        <w:rPr>
          <w:rFonts w:ascii="宋体" w:hAnsi="宋体" w:cs="宋体"/>
          <w:spacing w:val="14"/>
          <w:sz w:val="23"/>
          <w:szCs w:val="23"/>
        </w:rPr>
      </w:pPr>
    </w:p>
    <w:p w14:paraId="60521DF2">
      <w:pPr>
        <w:spacing w:before="34" w:line="229" w:lineRule="auto"/>
        <w:rPr>
          <w:rFonts w:ascii="宋体" w:hAnsi="宋体" w:cs="宋体"/>
          <w:sz w:val="24"/>
          <w:szCs w:val="24"/>
        </w:rPr>
      </w:pPr>
      <w:r>
        <w:rPr>
          <w:rFonts w:ascii="宋体" w:hAnsi="宋体" w:cs="宋体"/>
          <w:spacing w:val="14"/>
          <w:sz w:val="24"/>
          <w:szCs w:val="24"/>
        </w:rPr>
        <w:t>备</w:t>
      </w:r>
      <w:r>
        <w:rPr>
          <w:rFonts w:ascii="宋体" w:hAnsi="宋体" w:cs="宋体"/>
          <w:spacing w:val="10"/>
          <w:sz w:val="24"/>
          <w:szCs w:val="24"/>
        </w:rPr>
        <w:t>注：承包人须选择上表所列品牌或其它经发包人认可的同档次品牌。</w:t>
      </w:r>
    </w:p>
    <w:p w14:paraId="03AB8BA0">
      <w:pPr>
        <w:sectPr>
          <w:footerReference r:id="rId3" w:type="default"/>
          <w:pgSz w:w="11906" w:h="16839"/>
          <w:pgMar w:top="1440" w:right="1800" w:bottom="1440" w:left="1800" w:header="0" w:footer="1179" w:gutter="0"/>
          <w:cols w:space="720" w:num="1"/>
        </w:sectPr>
      </w:pPr>
    </w:p>
    <w:p w14:paraId="7B6CBEA0">
      <w:pPr>
        <w:spacing w:before="47" w:line="227" w:lineRule="auto"/>
        <w:jc w:val="left"/>
        <w:rPr>
          <w:rFonts w:ascii="宋体" w:hAnsi="宋体" w:cs="宋体"/>
          <w:spacing w:val="-11"/>
          <w:sz w:val="28"/>
          <w:szCs w:val="28"/>
        </w:rPr>
      </w:pPr>
      <w:r>
        <w:rPr>
          <w:rFonts w:ascii="宋体" w:hAnsi="宋体" w:cs="宋体"/>
          <w:spacing w:val="-11"/>
          <w:sz w:val="28"/>
          <w:szCs w:val="28"/>
        </w:rPr>
        <w:t>附件 2：</w:t>
      </w:r>
    </w:p>
    <w:p w14:paraId="5BF5BA1C">
      <w:pPr>
        <w:spacing w:before="99" w:line="227" w:lineRule="auto"/>
        <w:ind w:left="595"/>
        <w:jc w:val="center"/>
        <w:rPr>
          <w:rFonts w:ascii="宋体" w:hAnsi="宋体" w:cs="宋体"/>
          <w:spacing w:val="7"/>
          <w:sz w:val="24"/>
          <w:szCs w:val="24"/>
        </w:rPr>
      </w:pPr>
      <w:r>
        <w:rPr>
          <w:rFonts w:ascii="宋体" w:hAnsi="宋体" w:cs="宋体"/>
          <w:spacing w:val="7"/>
          <w:sz w:val="28"/>
          <w:szCs w:val="28"/>
        </w:rPr>
        <w:t>工程质量保修书</w:t>
      </w:r>
    </w:p>
    <w:p w14:paraId="69F6494A">
      <w:pPr>
        <w:spacing w:line="296" w:lineRule="auto"/>
        <w:rPr>
          <w:rFonts w:ascii="Arial"/>
        </w:rPr>
      </w:pPr>
    </w:p>
    <w:p w14:paraId="3F1EEC9C">
      <w:pPr>
        <w:spacing w:line="360" w:lineRule="auto"/>
        <w:ind w:firstLine="480" w:firstLineChars="200"/>
        <w:rPr>
          <w:rFonts w:hint="eastAsia" w:ascii="宋体" w:hAnsi="宋体" w:cs="宋体"/>
          <w:sz w:val="24"/>
          <w:szCs w:val="24"/>
        </w:rPr>
      </w:pPr>
      <w:r>
        <w:rPr>
          <w:rFonts w:hint="eastAsia" w:ascii="宋体" w:hAnsi="宋体" w:cs="宋体"/>
          <w:sz w:val="24"/>
          <w:szCs w:val="24"/>
        </w:rPr>
        <w:t>发包人(全称):</w:t>
      </w:r>
      <w:r>
        <w:rPr>
          <w:rFonts w:hint="eastAsia" w:ascii="宋体" w:hAnsi="宋体" w:cs="宋体"/>
          <w:sz w:val="24"/>
          <w:szCs w:val="24"/>
          <w:u w:val="single"/>
        </w:rPr>
        <w:t xml:space="preserve">                   </w:t>
      </w:r>
    </w:p>
    <w:p w14:paraId="7CD92417">
      <w:pPr>
        <w:spacing w:line="360" w:lineRule="auto"/>
        <w:ind w:firstLine="480" w:firstLineChars="200"/>
        <w:rPr>
          <w:rFonts w:hint="eastAsia" w:ascii="宋体" w:hAnsi="宋体" w:cs="宋体"/>
          <w:sz w:val="24"/>
          <w:szCs w:val="24"/>
        </w:rPr>
      </w:pPr>
      <w:r>
        <w:rPr>
          <w:rFonts w:hint="eastAsia" w:ascii="宋体" w:hAnsi="宋体" w:cs="宋体"/>
          <w:sz w:val="24"/>
          <w:szCs w:val="24"/>
        </w:rPr>
        <w:t>承包人(全称)：</w:t>
      </w:r>
      <w:r>
        <w:rPr>
          <w:rFonts w:hint="eastAsia" w:ascii="宋体" w:hAnsi="宋体" w:cs="宋体"/>
          <w:sz w:val="24"/>
          <w:szCs w:val="24"/>
          <w:u w:val="single"/>
        </w:rPr>
        <w:t xml:space="preserve">                    </w:t>
      </w:r>
    </w:p>
    <w:p w14:paraId="23895808">
      <w:pPr>
        <w:spacing w:line="360" w:lineRule="auto"/>
        <w:ind w:firstLine="480" w:firstLineChars="200"/>
        <w:rPr>
          <w:rFonts w:hint="eastAsia" w:ascii="宋体" w:hAnsi="宋体" w:cs="宋体"/>
          <w:sz w:val="24"/>
          <w:szCs w:val="24"/>
        </w:rPr>
      </w:pPr>
      <w:r>
        <w:rPr>
          <w:rFonts w:hint="eastAsia" w:ascii="宋体" w:hAnsi="宋体" w:cs="宋体"/>
          <w:sz w:val="24"/>
          <w:szCs w:val="24"/>
        </w:rPr>
        <w:t>为保证</w:t>
      </w:r>
      <w:r>
        <w:rPr>
          <w:rFonts w:hint="eastAsia" w:ascii="宋体" w:hAnsi="宋体" w:cs="宋体"/>
          <w:sz w:val="24"/>
          <w:szCs w:val="24"/>
          <w:u w:val="single"/>
        </w:rPr>
        <w:t xml:space="preserve">                      </w:t>
      </w:r>
      <w:r>
        <w:rPr>
          <w:rFonts w:hint="eastAsia" w:ascii="宋体" w:hAnsi="宋体" w:cs="宋体"/>
          <w:sz w:val="24"/>
          <w:szCs w:val="24"/>
        </w:rPr>
        <w:t>(工程名称)在合理使用期限内正常使用，发 包人、承包人协商一致签订工程质量保修书。承包人在保修期内按照有关管理规 定及双方约定承担工程质量保修责任。</w:t>
      </w:r>
    </w:p>
    <w:p w14:paraId="581ABD68">
      <w:pPr>
        <w:spacing w:line="360" w:lineRule="auto"/>
        <w:ind w:firstLine="480" w:firstLineChars="200"/>
        <w:rPr>
          <w:rFonts w:hint="eastAsia" w:ascii="宋体" w:hAnsi="宋体" w:cs="宋体"/>
          <w:sz w:val="24"/>
          <w:szCs w:val="24"/>
        </w:rPr>
      </w:pPr>
      <w:r>
        <w:rPr>
          <w:rFonts w:hint="eastAsia" w:ascii="宋体" w:hAnsi="宋体" w:cs="宋体"/>
          <w:sz w:val="24"/>
          <w:szCs w:val="24"/>
        </w:rPr>
        <w:t>一、工程质量保修范围和内容</w:t>
      </w:r>
    </w:p>
    <w:p w14:paraId="1A2016B1">
      <w:pPr>
        <w:spacing w:line="360" w:lineRule="auto"/>
        <w:ind w:firstLine="480" w:firstLineChars="200"/>
        <w:rPr>
          <w:rFonts w:hint="eastAsia" w:ascii="宋体" w:hAnsi="宋体" w:cs="宋体"/>
          <w:sz w:val="24"/>
          <w:szCs w:val="24"/>
        </w:rPr>
      </w:pPr>
      <w:r>
        <w:rPr>
          <w:rFonts w:hint="eastAsia" w:ascii="宋体" w:hAnsi="宋体" w:cs="宋体"/>
          <w:sz w:val="24"/>
          <w:szCs w:val="24"/>
        </w:rPr>
        <w:t>质量保修范围和内容包括：</w:t>
      </w:r>
      <w:r>
        <w:rPr>
          <w:rFonts w:hint="eastAsia" w:ascii="宋体" w:hAnsi="宋体" w:cs="宋体"/>
          <w:sz w:val="24"/>
          <w:szCs w:val="24"/>
          <w:u w:val="single"/>
        </w:rPr>
        <w:t xml:space="preserve"> 按承包人承包的全部施工竣工范围 。</w:t>
      </w:r>
    </w:p>
    <w:p w14:paraId="13427389">
      <w:pPr>
        <w:spacing w:line="360" w:lineRule="auto"/>
        <w:ind w:firstLine="480" w:firstLineChars="200"/>
        <w:rPr>
          <w:rFonts w:hint="eastAsia" w:ascii="宋体" w:hAnsi="宋体" w:cs="宋体"/>
          <w:sz w:val="24"/>
          <w:szCs w:val="24"/>
        </w:rPr>
      </w:pPr>
      <w:r>
        <w:rPr>
          <w:rFonts w:hint="eastAsia" w:ascii="宋体" w:hAnsi="宋体" w:cs="宋体"/>
          <w:sz w:val="24"/>
          <w:szCs w:val="24"/>
        </w:rPr>
        <w:t>二、质量保修期</w:t>
      </w:r>
    </w:p>
    <w:p w14:paraId="6DFB4511">
      <w:pPr>
        <w:spacing w:line="360" w:lineRule="auto"/>
        <w:ind w:firstLine="480" w:firstLineChars="200"/>
        <w:rPr>
          <w:rFonts w:hint="eastAsia" w:ascii="宋体" w:hAnsi="宋体" w:cs="宋体"/>
          <w:sz w:val="24"/>
          <w:szCs w:val="24"/>
        </w:rPr>
      </w:pPr>
      <w:r>
        <w:rPr>
          <w:rFonts w:hint="eastAsia" w:ascii="宋体" w:hAnsi="宋体" w:cs="宋体"/>
          <w:sz w:val="24"/>
          <w:szCs w:val="24"/>
        </w:rPr>
        <w:t>质量保修期自工程实际竣工之日算起。分单项竣工验收的工程，按单项工程 分别计算质量保修期。 自验收合格之日起质量保修期为 2 年。</w:t>
      </w:r>
    </w:p>
    <w:p w14:paraId="66E71FBD">
      <w:pPr>
        <w:spacing w:line="360" w:lineRule="auto"/>
        <w:ind w:firstLine="480" w:firstLineChars="200"/>
        <w:rPr>
          <w:rFonts w:hint="eastAsia" w:ascii="宋体" w:hAnsi="宋体" w:cs="宋体"/>
          <w:sz w:val="24"/>
          <w:szCs w:val="24"/>
        </w:rPr>
      </w:pPr>
      <w:r>
        <w:rPr>
          <w:rFonts w:hint="eastAsia" w:ascii="宋体" w:hAnsi="宋体" w:cs="宋体"/>
          <w:sz w:val="24"/>
          <w:szCs w:val="24"/>
        </w:rPr>
        <w:t>三、质量保修责任</w:t>
      </w:r>
    </w:p>
    <w:p w14:paraId="4E48B3F2">
      <w:pPr>
        <w:spacing w:line="360" w:lineRule="auto"/>
        <w:ind w:firstLine="480" w:firstLineChars="200"/>
        <w:rPr>
          <w:rFonts w:hint="eastAsia" w:ascii="宋体" w:hAnsi="宋体" w:cs="宋体"/>
          <w:sz w:val="24"/>
          <w:szCs w:val="24"/>
        </w:rPr>
      </w:pPr>
      <w:r>
        <w:rPr>
          <w:rFonts w:hint="eastAsia" w:ascii="宋体" w:hAnsi="宋体" w:cs="宋体"/>
          <w:sz w:val="24"/>
          <w:szCs w:val="24"/>
        </w:rPr>
        <w:t>1.属于保修范围和内容的项目，承包人应在接到修理通知之日后</w:t>
      </w:r>
      <w:r>
        <w:rPr>
          <w:rFonts w:hint="eastAsia" w:ascii="宋体" w:hAnsi="宋体" w:cs="宋体"/>
          <w:sz w:val="24"/>
          <w:szCs w:val="24"/>
          <w:u w:val="single"/>
        </w:rPr>
        <w:t xml:space="preserve">   </w:t>
      </w:r>
      <w:r>
        <w:rPr>
          <w:rFonts w:hint="eastAsia" w:ascii="宋体" w:hAnsi="宋体" w:cs="宋体"/>
          <w:sz w:val="24"/>
          <w:szCs w:val="24"/>
        </w:rPr>
        <w:t>内派人 修理。承包人不在约定期限内，派人修理，发包人可委托其他人员修理，保修费 用从质量保修金内扣除。</w:t>
      </w:r>
    </w:p>
    <w:p w14:paraId="1D88E4C8">
      <w:pPr>
        <w:spacing w:line="360" w:lineRule="auto"/>
        <w:ind w:firstLine="480" w:firstLineChars="200"/>
        <w:rPr>
          <w:rFonts w:hint="eastAsia" w:ascii="宋体" w:hAnsi="宋体" w:cs="宋体"/>
          <w:sz w:val="24"/>
          <w:szCs w:val="24"/>
        </w:rPr>
      </w:pPr>
      <w:r>
        <w:rPr>
          <w:rFonts w:hint="eastAsia" w:ascii="宋体" w:hAnsi="宋体" w:cs="宋体"/>
          <w:sz w:val="24"/>
          <w:szCs w:val="24"/>
        </w:rPr>
        <w:t>2.发生须紧急抢修事故(如上水跑水、暖气漏水漏气、燃气漏气等)，承包人 接到事故通知后，应立即到达事故现场抢修。非承包人施工质量引起的事故，抢 修费用由发包人承担。</w:t>
      </w:r>
    </w:p>
    <w:p w14:paraId="780F5291">
      <w:pPr>
        <w:spacing w:line="360" w:lineRule="auto"/>
        <w:ind w:firstLine="480" w:firstLineChars="200"/>
        <w:rPr>
          <w:rFonts w:hint="eastAsia" w:ascii="宋体" w:hAnsi="宋体" w:cs="宋体"/>
          <w:sz w:val="24"/>
          <w:szCs w:val="24"/>
        </w:rPr>
      </w:pPr>
      <w:r>
        <w:rPr>
          <w:rFonts w:hint="eastAsia" w:ascii="宋体" w:hAnsi="宋体" w:cs="宋体"/>
          <w:sz w:val="24"/>
          <w:szCs w:val="24"/>
        </w:rPr>
        <w:t>3.在国家规定的工程合理使用期限内，承包人确保地基基础工程和主体结构 的质量。因承包人原因致使工程在合理使用期限内造成人身和财产损害的，承包 人应承担损害赔偿责任。</w:t>
      </w:r>
    </w:p>
    <w:p w14:paraId="7E0B2E0B">
      <w:pPr>
        <w:spacing w:line="360" w:lineRule="auto"/>
        <w:ind w:firstLine="480" w:firstLineChars="200"/>
        <w:rPr>
          <w:rFonts w:hint="eastAsia" w:ascii="宋体" w:hAnsi="宋体" w:cs="宋体"/>
          <w:sz w:val="24"/>
          <w:szCs w:val="24"/>
        </w:rPr>
      </w:pPr>
      <w:r>
        <w:rPr>
          <w:rFonts w:hint="eastAsia" w:ascii="宋体" w:hAnsi="宋体" w:cs="宋体"/>
          <w:sz w:val="24"/>
          <w:szCs w:val="24"/>
        </w:rPr>
        <w:t>4.质量保修完成后，由发包人组织验收。</w:t>
      </w:r>
    </w:p>
    <w:p w14:paraId="0014494B">
      <w:pPr>
        <w:spacing w:line="360" w:lineRule="auto"/>
        <w:ind w:firstLine="480" w:firstLineChars="200"/>
        <w:rPr>
          <w:rFonts w:hint="eastAsia" w:ascii="宋体" w:hAnsi="宋体" w:cs="宋体"/>
          <w:sz w:val="24"/>
          <w:szCs w:val="24"/>
        </w:rPr>
      </w:pPr>
      <w:r>
        <w:rPr>
          <w:rFonts w:hint="eastAsia" w:ascii="宋体" w:hAnsi="宋体" w:cs="宋体"/>
          <w:sz w:val="24"/>
          <w:szCs w:val="24"/>
        </w:rPr>
        <w:t>四、其他</w:t>
      </w:r>
    </w:p>
    <w:p w14:paraId="29D8695E">
      <w:pPr>
        <w:spacing w:line="360" w:lineRule="auto"/>
        <w:ind w:firstLine="480" w:firstLineChars="200"/>
        <w:rPr>
          <w:rFonts w:hint="eastAsia" w:ascii="宋体" w:hAnsi="宋体" w:cs="宋体"/>
          <w:sz w:val="24"/>
          <w:szCs w:val="24"/>
        </w:rPr>
      </w:pPr>
      <w:r>
        <w:rPr>
          <w:rFonts w:hint="eastAsia" w:ascii="宋体" w:hAnsi="宋体" w:cs="宋体"/>
          <w:sz w:val="24"/>
          <w:szCs w:val="24"/>
        </w:rPr>
        <w:t>双方约定的其他工程质量保修事项：</w:t>
      </w:r>
      <w:r>
        <w:rPr>
          <w:rFonts w:hint="eastAsia" w:ascii="宋体" w:hAnsi="宋体" w:cs="宋体"/>
          <w:sz w:val="24"/>
          <w:szCs w:val="24"/>
          <w:u w:val="single"/>
        </w:rPr>
        <w:t xml:space="preserve">        </w:t>
      </w:r>
    </w:p>
    <w:p w14:paraId="5E65654E">
      <w:pPr>
        <w:spacing w:line="360" w:lineRule="auto"/>
        <w:ind w:firstLine="480" w:firstLineChars="200"/>
        <w:rPr>
          <w:rFonts w:hint="eastAsia" w:ascii="宋体" w:hAnsi="宋体" w:cs="宋体"/>
          <w:sz w:val="24"/>
          <w:szCs w:val="24"/>
        </w:rPr>
      </w:pPr>
      <w:r>
        <w:rPr>
          <w:rFonts w:hint="eastAsia" w:ascii="宋体" w:hAnsi="宋体" w:cs="宋体"/>
          <w:sz w:val="24"/>
          <w:szCs w:val="24"/>
        </w:rPr>
        <w:t>本工程质量保修书作为施工合同附件，由施工合同发包人、承包人双方共同 签署。</w:t>
      </w:r>
    </w:p>
    <w:p w14:paraId="53CE7753">
      <w:pPr>
        <w:rPr>
          <w:rFonts w:hint="eastAsia" w:ascii="宋体" w:hAnsi="宋体" w:cs="宋体"/>
          <w:sz w:val="24"/>
          <w:szCs w:val="24"/>
        </w:rPr>
      </w:pPr>
    </w:p>
    <w:p w14:paraId="45AA6265">
      <w:pPr>
        <w:rPr>
          <w:rFonts w:hint="eastAsia" w:ascii="宋体" w:hAnsi="宋体" w:cs="宋体"/>
          <w:sz w:val="24"/>
          <w:szCs w:val="24"/>
        </w:rPr>
      </w:pPr>
    </w:p>
    <w:p w14:paraId="0DEFCB92">
      <w:pPr>
        <w:spacing w:line="139" w:lineRule="exact"/>
        <w:rPr>
          <w:rFonts w:hint="eastAsia" w:ascii="宋体" w:hAnsi="宋体" w:cs="宋体"/>
          <w:sz w:val="24"/>
          <w:szCs w:val="24"/>
        </w:rPr>
      </w:pPr>
    </w:p>
    <w:p w14:paraId="790B8C2D">
      <w:pPr>
        <w:rPr>
          <w:rFonts w:hint="eastAsia" w:ascii="宋体" w:hAnsi="宋体" w:cs="宋体"/>
          <w:sz w:val="24"/>
          <w:szCs w:val="24"/>
        </w:rPr>
        <w:sectPr>
          <w:footerReference r:id="rId4" w:type="default"/>
          <w:pgSz w:w="11906" w:h="16839"/>
          <w:pgMar w:top="1440" w:right="1800" w:bottom="1440" w:left="1800" w:header="0" w:footer="1179" w:gutter="0"/>
          <w:cols w:space="720" w:num="1"/>
        </w:sectPr>
      </w:pPr>
    </w:p>
    <w:p w14:paraId="2C01EB20">
      <w:pPr>
        <w:spacing w:before="47" w:line="227" w:lineRule="auto"/>
        <w:ind w:left="27"/>
        <w:rPr>
          <w:rFonts w:hint="eastAsia" w:ascii="宋体" w:hAnsi="宋体" w:cs="宋体"/>
          <w:spacing w:val="5"/>
          <w:sz w:val="24"/>
          <w:szCs w:val="24"/>
        </w:rPr>
      </w:pPr>
    </w:p>
    <w:p w14:paraId="1F673EA4">
      <w:pPr>
        <w:spacing w:before="47" w:line="227" w:lineRule="auto"/>
        <w:ind w:left="27"/>
        <w:rPr>
          <w:rFonts w:hint="eastAsia" w:ascii="宋体" w:hAnsi="宋体" w:cs="宋体"/>
          <w:spacing w:val="5"/>
          <w:sz w:val="24"/>
          <w:szCs w:val="24"/>
        </w:rPr>
      </w:pPr>
    </w:p>
    <w:p w14:paraId="6D644943">
      <w:pPr>
        <w:spacing w:before="47" w:line="227" w:lineRule="auto"/>
        <w:ind w:left="27"/>
        <w:rPr>
          <w:rFonts w:hint="eastAsia" w:ascii="宋体" w:hAnsi="宋体" w:cs="宋体"/>
          <w:spacing w:val="5"/>
          <w:sz w:val="24"/>
          <w:szCs w:val="24"/>
        </w:rPr>
      </w:pPr>
    </w:p>
    <w:p w14:paraId="09A94C7E">
      <w:pPr>
        <w:spacing w:before="47" w:line="227" w:lineRule="auto"/>
        <w:ind w:left="27"/>
        <w:rPr>
          <w:rFonts w:hint="eastAsia" w:ascii="宋体" w:hAnsi="宋体" w:cs="宋体"/>
          <w:spacing w:val="5"/>
          <w:sz w:val="24"/>
          <w:szCs w:val="24"/>
        </w:rPr>
      </w:pPr>
    </w:p>
    <w:p w14:paraId="76081C96">
      <w:pPr>
        <w:spacing w:before="47" w:line="227" w:lineRule="auto"/>
        <w:ind w:left="27"/>
        <w:rPr>
          <w:rFonts w:hint="eastAsia" w:ascii="宋体" w:hAnsi="宋体" w:cs="宋体"/>
          <w:spacing w:val="5"/>
          <w:sz w:val="24"/>
          <w:szCs w:val="24"/>
        </w:rPr>
      </w:pPr>
    </w:p>
    <w:p w14:paraId="15E91F56">
      <w:pPr>
        <w:spacing w:before="47" w:line="227" w:lineRule="auto"/>
        <w:ind w:left="27"/>
        <w:rPr>
          <w:rFonts w:hint="eastAsia" w:ascii="宋体" w:hAnsi="宋体" w:cs="宋体"/>
          <w:sz w:val="24"/>
          <w:szCs w:val="24"/>
        </w:rPr>
      </w:pPr>
      <w:r>
        <w:rPr>
          <w:rFonts w:hint="eastAsia" w:ascii="宋体" w:hAnsi="宋体" w:cs="宋体"/>
          <w:spacing w:val="5"/>
          <w:sz w:val="24"/>
          <w:szCs w:val="24"/>
        </w:rPr>
        <w:t>发 包 人：</w:t>
      </w:r>
      <w:r>
        <w:rPr>
          <w:rFonts w:hint="eastAsia" w:ascii="宋体" w:hAnsi="宋体" w:cs="宋体"/>
          <w:spacing w:val="5"/>
          <w:sz w:val="24"/>
          <w:szCs w:val="24"/>
          <w:u w:val="single"/>
        </w:rPr>
        <w:t xml:space="preserve">    (盖章)</w:t>
      </w:r>
      <w:r>
        <w:rPr>
          <w:rFonts w:hint="eastAsia" w:ascii="宋体" w:hAnsi="宋体" w:cs="宋体"/>
          <w:sz w:val="24"/>
          <w:szCs w:val="24"/>
          <w:u w:val="single"/>
        </w:rPr>
        <w:t xml:space="preserve">               </w:t>
      </w:r>
    </w:p>
    <w:p w14:paraId="37A239F7">
      <w:pPr>
        <w:spacing w:line="285" w:lineRule="auto"/>
        <w:rPr>
          <w:rFonts w:hint="eastAsia" w:ascii="宋体" w:hAnsi="宋体" w:cs="宋体"/>
          <w:sz w:val="24"/>
          <w:szCs w:val="24"/>
        </w:rPr>
      </w:pPr>
    </w:p>
    <w:p w14:paraId="2EEFBE91">
      <w:pPr>
        <w:spacing w:line="285" w:lineRule="auto"/>
        <w:rPr>
          <w:rFonts w:hint="eastAsia" w:ascii="宋体" w:hAnsi="宋体" w:cs="宋体"/>
          <w:sz w:val="24"/>
          <w:szCs w:val="24"/>
        </w:rPr>
      </w:pPr>
    </w:p>
    <w:p w14:paraId="5D22A680">
      <w:pPr>
        <w:spacing w:before="75" w:line="227" w:lineRule="auto"/>
        <w:ind w:left="24"/>
        <w:rPr>
          <w:rFonts w:hint="eastAsia" w:ascii="宋体" w:hAnsi="宋体" w:cs="宋体"/>
          <w:sz w:val="24"/>
          <w:szCs w:val="24"/>
        </w:rPr>
      </w:pPr>
      <w:r>
        <w:rPr>
          <w:rFonts w:hint="eastAsia" w:ascii="宋体" w:hAnsi="宋体" w:cs="宋体"/>
          <w:spacing w:val="14"/>
          <w:sz w:val="24"/>
          <w:szCs w:val="24"/>
        </w:rPr>
        <w:t>法</w:t>
      </w:r>
      <w:r>
        <w:rPr>
          <w:rFonts w:hint="eastAsia" w:ascii="宋体" w:hAnsi="宋体" w:cs="宋体"/>
          <w:spacing w:val="8"/>
          <w:sz w:val="24"/>
          <w:szCs w:val="24"/>
        </w:rPr>
        <w:t>定</w:t>
      </w:r>
      <w:r>
        <w:rPr>
          <w:rFonts w:hint="eastAsia" w:ascii="宋体" w:hAnsi="宋体" w:cs="宋体"/>
          <w:spacing w:val="7"/>
          <w:sz w:val="24"/>
          <w:szCs w:val="24"/>
        </w:rPr>
        <w:t>代表人 (签字或签章)</w:t>
      </w:r>
    </w:p>
    <w:p w14:paraId="4B9E6328">
      <w:pPr>
        <w:spacing w:before="186" w:line="227" w:lineRule="auto"/>
        <w:ind w:left="26"/>
        <w:rPr>
          <w:rFonts w:hint="eastAsia" w:ascii="宋体" w:hAnsi="宋体" w:cs="宋体"/>
          <w:sz w:val="24"/>
          <w:szCs w:val="24"/>
        </w:rPr>
      </w:pPr>
      <w:r>
        <w:rPr>
          <w:rFonts w:hint="eastAsia" w:ascii="宋体" w:hAnsi="宋体" w:cs="宋体"/>
          <w:spacing w:val="9"/>
          <w:sz w:val="24"/>
          <w:szCs w:val="24"/>
        </w:rPr>
        <w:t>或</w:t>
      </w:r>
      <w:r>
        <w:rPr>
          <w:rFonts w:hint="eastAsia" w:ascii="宋体" w:hAnsi="宋体" w:cs="宋体"/>
          <w:spacing w:val="7"/>
          <w:sz w:val="24"/>
          <w:szCs w:val="24"/>
        </w:rPr>
        <w:t>其授权代理人 (签字) ：</w:t>
      </w:r>
      <w:r>
        <w:rPr>
          <w:rFonts w:hint="eastAsia" w:ascii="宋体" w:hAnsi="宋体" w:cs="宋体"/>
          <w:sz w:val="24"/>
          <w:szCs w:val="24"/>
          <w:u w:val="single"/>
        </w:rPr>
        <w:t xml:space="preserve">           </w:t>
      </w:r>
    </w:p>
    <w:p w14:paraId="015BDD53">
      <w:pPr>
        <w:spacing w:line="286" w:lineRule="auto"/>
        <w:rPr>
          <w:rFonts w:ascii="宋体" w:hAnsi="宋体" w:cs="宋体"/>
          <w:sz w:val="24"/>
          <w:szCs w:val="24"/>
        </w:rPr>
      </w:pPr>
      <w:r>
        <w:rPr>
          <w:rFonts w:hint="eastAsia" w:ascii="宋体" w:hAnsi="宋体" w:cs="宋体"/>
          <w:sz w:val="24"/>
          <w:szCs w:val="24"/>
        </w:rPr>
        <w:t xml:space="preserve">   </w:t>
      </w:r>
    </w:p>
    <w:p w14:paraId="678D81DD">
      <w:pPr>
        <w:spacing w:line="286" w:lineRule="auto"/>
        <w:rPr>
          <w:rFonts w:hint="eastAsia" w:ascii="宋体" w:hAnsi="宋体" w:cs="宋体"/>
          <w:sz w:val="24"/>
          <w:szCs w:val="24"/>
        </w:rPr>
      </w:pPr>
    </w:p>
    <w:p w14:paraId="27805F78">
      <w:pPr>
        <w:tabs>
          <w:tab w:val="left" w:pos="744"/>
        </w:tabs>
        <w:spacing w:before="75" w:line="192" w:lineRule="auto"/>
        <w:ind w:left="134"/>
        <w:rPr>
          <w:rFonts w:hint="eastAsia" w:ascii="宋体" w:hAnsi="宋体" w:cs="宋体"/>
          <w:sz w:val="24"/>
          <w:szCs w:val="24"/>
        </w:rPr>
      </w:pPr>
      <w:r>
        <w:rPr>
          <w:rFonts w:hint="eastAsia" w:ascii="宋体" w:hAnsi="宋体" w:cs="宋体"/>
          <w:sz w:val="24"/>
          <w:szCs w:val="24"/>
          <w:u w:val="single"/>
        </w:rPr>
        <w:tab/>
      </w:r>
      <w:r>
        <w:rPr>
          <w:rFonts w:hint="eastAsia" w:ascii="宋体" w:hAnsi="宋体" w:cs="宋体"/>
          <w:spacing w:val="11"/>
          <w:sz w:val="24"/>
          <w:szCs w:val="24"/>
        </w:rPr>
        <w:t>年</w:t>
      </w:r>
      <w:r>
        <w:rPr>
          <w:rFonts w:hint="eastAsia" w:ascii="宋体" w:hAnsi="宋体" w:cs="宋体"/>
          <w:spacing w:val="8"/>
          <w:sz w:val="24"/>
          <w:szCs w:val="24"/>
          <w:u w:val="single"/>
        </w:rPr>
        <w:t xml:space="preserve">      </w:t>
      </w:r>
      <w:r>
        <w:rPr>
          <w:rFonts w:hint="eastAsia" w:ascii="宋体" w:hAnsi="宋体" w:cs="宋体"/>
          <w:spacing w:val="8"/>
          <w:sz w:val="24"/>
          <w:szCs w:val="24"/>
        </w:rPr>
        <w:t>月</w:t>
      </w:r>
      <w:r>
        <w:rPr>
          <w:rFonts w:hint="eastAsia" w:ascii="宋体" w:hAnsi="宋体" w:cs="宋体"/>
          <w:spacing w:val="8"/>
          <w:sz w:val="24"/>
          <w:szCs w:val="24"/>
          <w:u w:val="single"/>
        </w:rPr>
        <w:t xml:space="preserve">     </w:t>
      </w:r>
      <w:r>
        <w:rPr>
          <w:rFonts w:hint="eastAsia" w:ascii="宋体" w:hAnsi="宋体" w:cs="宋体"/>
          <w:spacing w:val="8"/>
          <w:sz w:val="24"/>
          <w:szCs w:val="24"/>
        </w:rPr>
        <w:t>日</w:t>
      </w:r>
    </w:p>
    <w:p w14:paraId="24A7629F">
      <w:pPr>
        <w:spacing w:line="14" w:lineRule="auto"/>
        <w:rPr>
          <w:rFonts w:hint="eastAsia" w:ascii="宋体" w:hAnsi="宋体" w:cs="宋体"/>
          <w:sz w:val="24"/>
          <w:szCs w:val="24"/>
        </w:rPr>
      </w:pPr>
      <w:r>
        <w:rPr>
          <w:rFonts w:hint="eastAsia" w:ascii="宋体" w:hAnsi="宋体" w:cs="宋体"/>
          <w:sz w:val="24"/>
          <w:szCs w:val="24"/>
        </w:rPr>
        <w:br w:type="column"/>
      </w:r>
    </w:p>
    <w:p w14:paraId="1EEC03C9">
      <w:pPr>
        <w:spacing w:before="46" w:line="227" w:lineRule="auto"/>
        <w:rPr>
          <w:rFonts w:hint="eastAsia" w:ascii="宋体" w:hAnsi="宋体" w:cs="宋体"/>
          <w:spacing w:val="9"/>
          <w:sz w:val="24"/>
          <w:szCs w:val="24"/>
        </w:rPr>
      </w:pPr>
    </w:p>
    <w:p w14:paraId="502910AE">
      <w:pPr>
        <w:spacing w:before="46" w:line="227" w:lineRule="auto"/>
        <w:rPr>
          <w:rFonts w:hint="eastAsia" w:ascii="宋体" w:hAnsi="宋体" w:cs="宋体"/>
          <w:spacing w:val="9"/>
          <w:sz w:val="24"/>
          <w:szCs w:val="24"/>
        </w:rPr>
      </w:pPr>
    </w:p>
    <w:p w14:paraId="505C88E1">
      <w:pPr>
        <w:spacing w:before="46" w:line="227" w:lineRule="auto"/>
        <w:rPr>
          <w:rFonts w:hint="eastAsia" w:ascii="宋体" w:hAnsi="宋体" w:cs="宋体"/>
          <w:spacing w:val="9"/>
          <w:sz w:val="24"/>
          <w:szCs w:val="24"/>
        </w:rPr>
      </w:pPr>
    </w:p>
    <w:p w14:paraId="21349252">
      <w:pPr>
        <w:spacing w:before="46" w:line="227" w:lineRule="auto"/>
        <w:rPr>
          <w:rFonts w:hint="eastAsia" w:ascii="宋体" w:hAnsi="宋体" w:cs="宋体"/>
          <w:sz w:val="24"/>
          <w:szCs w:val="24"/>
        </w:rPr>
      </w:pPr>
      <w:r>
        <w:rPr>
          <w:rFonts w:hint="eastAsia" w:ascii="宋体" w:hAnsi="宋体" w:cs="宋体"/>
          <w:spacing w:val="9"/>
          <w:sz w:val="24"/>
          <w:szCs w:val="24"/>
        </w:rPr>
        <w:t>承</w:t>
      </w:r>
      <w:r>
        <w:rPr>
          <w:rFonts w:hint="eastAsia" w:ascii="宋体" w:hAnsi="宋体" w:cs="宋体"/>
          <w:spacing w:val="5"/>
          <w:sz w:val="24"/>
          <w:szCs w:val="24"/>
        </w:rPr>
        <w:t xml:space="preserve"> 包 人：</w:t>
      </w:r>
      <w:r>
        <w:rPr>
          <w:rFonts w:hint="eastAsia" w:ascii="宋体" w:hAnsi="宋体" w:cs="宋体"/>
          <w:spacing w:val="5"/>
          <w:sz w:val="24"/>
          <w:szCs w:val="24"/>
          <w:u w:val="single"/>
        </w:rPr>
        <w:t xml:space="preserve">    (盖章)</w:t>
      </w:r>
      <w:r>
        <w:rPr>
          <w:rFonts w:hint="eastAsia" w:ascii="宋体" w:hAnsi="宋体" w:cs="宋体"/>
          <w:sz w:val="24"/>
          <w:szCs w:val="24"/>
          <w:u w:val="single"/>
        </w:rPr>
        <w:t xml:space="preserve">       </w:t>
      </w:r>
    </w:p>
    <w:p w14:paraId="59BB5C6F">
      <w:pPr>
        <w:spacing w:line="285" w:lineRule="auto"/>
        <w:rPr>
          <w:rFonts w:hint="eastAsia" w:ascii="宋体" w:hAnsi="宋体" w:cs="宋体"/>
          <w:sz w:val="24"/>
          <w:szCs w:val="24"/>
        </w:rPr>
      </w:pPr>
    </w:p>
    <w:p w14:paraId="105E44CC">
      <w:pPr>
        <w:spacing w:line="285" w:lineRule="auto"/>
        <w:rPr>
          <w:rFonts w:hint="eastAsia" w:ascii="宋体" w:hAnsi="宋体" w:cs="宋体"/>
          <w:sz w:val="24"/>
          <w:szCs w:val="24"/>
        </w:rPr>
      </w:pPr>
    </w:p>
    <w:p w14:paraId="1313FE92">
      <w:pPr>
        <w:spacing w:before="75" w:line="227" w:lineRule="auto"/>
        <w:rPr>
          <w:rFonts w:hint="eastAsia" w:ascii="宋体" w:hAnsi="宋体" w:cs="宋体"/>
          <w:sz w:val="24"/>
          <w:szCs w:val="24"/>
        </w:rPr>
      </w:pPr>
      <w:r>
        <w:rPr>
          <w:rFonts w:hint="eastAsia" w:ascii="宋体" w:hAnsi="宋体" w:cs="宋体"/>
          <w:spacing w:val="14"/>
          <w:sz w:val="24"/>
          <w:szCs w:val="24"/>
        </w:rPr>
        <w:t>法</w:t>
      </w:r>
      <w:r>
        <w:rPr>
          <w:rFonts w:hint="eastAsia" w:ascii="宋体" w:hAnsi="宋体" w:cs="宋体"/>
          <w:spacing w:val="8"/>
          <w:sz w:val="24"/>
          <w:szCs w:val="24"/>
        </w:rPr>
        <w:t>定</w:t>
      </w:r>
      <w:r>
        <w:rPr>
          <w:rFonts w:hint="eastAsia" w:ascii="宋体" w:hAnsi="宋体" w:cs="宋体"/>
          <w:spacing w:val="7"/>
          <w:sz w:val="24"/>
          <w:szCs w:val="24"/>
        </w:rPr>
        <w:t>代表人 (签字或签章)</w:t>
      </w:r>
    </w:p>
    <w:p w14:paraId="13A63FAB">
      <w:pPr>
        <w:spacing w:before="186" w:line="227" w:lineRule="auto"/>
        <w:ind w:left="2"/>
        <w:rPr>
          <w:rFonts w:hint="eastAsia" w:ascii="宋体" w:hAnsi="宋体" w:cs="宋体"/>
          <w:sz w:val="24"/>
          <w:szCs w:val="24"/>
        </w:rPr>
      </w:pPr>
      <w:r>
        <w:rPr>
          <w:rFonts w:hint="eastAsia" w:ascii="宋体" w:hAnsi="宋体" w:cs="宋体"/>
          <w:spacing w:val="9"/>
          <w:sz w:val="24"/>
          <w:szCs w:val="24"/>
        </w:rPr>
        <w:t>或</w:t>
      </w:r>
      <w:r>
        <w:rPr>
          <w:rFonts w:hint="eastAsia" w:ascii="宋体" w:hAnsi="宋体" w:cs="宋体"/>
          <w:spacing w:val="7"/>
          <w:sz w:val="24"/>
          <w:szCs w:val="24"/>
        </w:rPr>
        <w:t>其授权代理人 (签字) ：</w:t>
      </w:r>
      <w:r>
        <w:rPr>
          <w:rFonts w:hint="eastAsia" w:ascii="宋体" w:hAnsi="宋体" w:cs="宋体"/>
          <w:sz w:val="24"/>
          <w:szCs w:val="24"/>
          <w:u w:val="single"/>
        </w:rPr>
        <w:t xml:space="preserve">              </w:t>
      </w:r>
    </w:p>
    <w:p w14:paraId="7D2BA6CF">
      <w:pPr>
        <w:spacing w:line="286" w:lineRule="auto"/>
        <w:rPr>
          <w:rFonts w:hint="eastAsia" w:ascii="宋体" w:hAnsi="宋体" w:cs="宋体"/>
          <w:sz w:val="24"/>
          <w:szCs w:val="24"/>
        </w:rPr>
      </w:pPr>
    </w:p>
    <w:p w14:paraId="0CD4C9D4">
      <w:pPr>
        <w:spacing w:line="286" w:lineRule="auto"/>
        <w:rPr>
          <w:rFonts w:hint="eastAsia" w:ascii="宋体" w:hAnsi="宋体" w:cs="宋体"/>
          <w:sz w:val="24"/>
          <w:szCs w:val="24"/>
        </w:rPr>
      </w:pPr>
    </w:p>
    <w:p w14:paraId="6DEE59ED">
      <w:pPr>
        <w:tabs>
          <w:tab w:val="left" w:pos="960"/>
        </w:tabs>
        <w:spacing w:before="75" w:line="192" w:lineRule="auto"/>
        <w:ind w:left="110"/>
        <w:rPr>
          <w:rFonts w:hint="default" w:ascii="宋体" w:hAnsi="宋体" w:eastAsia="宋体" w:cs="宋体"/>
          <w:sz w:val="24"/>
          <w:szCs w:val="24"/>
          <w:lang w:val="en-US" w:eastAsia="zh-CN"/>
        </w:rPr>
        <w:sectPr>
          <w:type w:val="continuous"/>
          <w:pgSz w:w="11906" w:h="16839"/>
          <w:pgMar w:top="1426" w:right="1785" w:bottom="1391" w:left="1785" w:header="0" w:footer="1179" w:gutter="0"/>
          <w:cols w:equalWidth="0" w:num="2">
            <w:col w:w="4844" w:space="100"/>
            <w:col w:w="3391"/>
          </w:cols>
        </w:sectPr>
      </w:pPr>
      <w:r>
        <w:rPr>
          <w:rFonts w:hint="eastAsia" w:ascii="宋体" w:hAnsi="宋体" w:cs="宋体"/>
          <w:sz w:val="24"/>
          <w:szCs w:val="24"/>
          <w:u w:val="single"/>
        </w:rPr>
        <w:tab/>
      </w:r>
      <w:r>
        <w:rPr>
          <w:rFonts w:hint="eastAsia" w:ascii="宋体" w:hAnsi="宋体" w:cs="宋体"/>
          <w:spacing w:val="5"/>
          <w:sz w:val="24"/>
          <w:szCs w:val="24"/>
        </w:rPr>
        <w:t>年</w:t>
      </w:r>
      <w:r>
        <w:rPr>
          <w:rFonts w:hint="eastAsia" w:ascii="宋体" w:hAnsi="宋体" w:cs="宋体"/>
          <w:spacing w:val="5"/>
          <w:sz w:val="24"/>
          <w:szCs w:val="24"/>
          <w:u w:val="single"/>
        </w:rPr>
        <w:t xml:space="preserve">      </w:t>
      </w:r>
      <w:r>
        <w:rPr>
          <w:rFonts w:hint="eastAsia" w:ascii="宋体" w:hAnsi="宋体" w:cs="宋体"/>
          <w:spacing w:val="5"/>
          <w:sz w:val="24"/>
          <w:szCs w:val="24"/>
        </w:rPr>
        <w:t>月</w:t>
      </w:r>
      <w:r>
        <w:rPr>
          <w:rFonts w:hint="eastAsia" w:ascii="宋体" w:hAnsi="宋体" w:cs="宋体"/>
          <w:sz w:val="24"/>
          <w:szCs w:val="24"/>
          <w:u w:val="single"/>
        </w:rPr>
        <w:t xml:space="preserve">   </w:t>
      </w:r>
      <w:r>
        <w:rPr>
          <w:rFonts w:hint="eastAsia" w:ascii="宋体" w:hAnsi="宋体" w:cs="宋体"/>
          <w:sz w:val="24"/>
          <w:szCs w:val="24"/>
          <w:u w:val="single"/>
          <w:lang w:val="en-US" w:eastAsia="zh-CN"/>
        </w:rPr>
        <w:t xml:space="preserve"> 日</w:t>
      </w:r>
    </w:p>
    <w:p w14:paraId="20FBA398"/>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2010609030101010101"/>
    <w:charset w:val="86"/>
    <w:family w:val="modern"/>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9D340F9">
    <w:pPr>
      <w:spacing w:line="230" w:lineRule="auto"/>
      <w:ind w:left="4621"/>
      <w:rPr>
        <w:rFonts w:ascii="宋体" w:hAnsi="宋体" w:cs="宋体"/>
        <w:sz w:val="17"/>
        <w:szCs w:val="17"/>
      </w:rPr>
    </w:pPr>
    <w:r>
      <w:rPr>
        <w:sz w:val="17"/>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738083BB">
                          <w:pPr>
                            <w:pStyle w:val="5"/>
                          </w:pPr>
                          <w:r>
                            <w:fldChar w:fldCharType="begin"/>
                          </w:r>
                          <w:r>
                            <w:instrText xml:space="preserve"> PAGE  \* MERGEFORMAT </w:instrText>
                          </w:r>
                          <w:r>
                            <w:fldChar w:fldCharType="separate"/>
                          </w:r>
                          <w:r>
                            <w:t>41</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DOqXm5zwAAAAUBAAAPAAAAAAAAAAEAIAAAACIAAABkcnMvZG93bnJldi54bWxQ&#10;SwECFAAUAAAACACHTuJA9Aknl8cBAACZAwAADgAAAAAAAAABACAAAAAeAQAAZHJzL2Uyb0RvYy54&#10;bWxQSwUGAAAAAAYABgBZAQAAVwUAAAAA&#10;">
              <v:path/>
              <v:fill on="f" focussize="0,0"/>
              <v:stroke on="f"/>
              <v:imagedata o:title=""/>
              <o:lock v:ext="edit" aspectratio="f"/>
              <v:textbox inset="0mm,0mm,0mm,0mm" style="mso-fit-shape-to-text:t;">
                <w:txbxContent>
                  <w:p w14:paraId="738083BB">
                    <w:pPr>
                      <w:pStyle w:val="5"/>
                    </w:pPr>
                    <w:r>
                      <w:fldChar w:fldCharType="begin"/>
                    </w:r>
                    <w:r>
                      <w:instrText xml:space="preserve"> PAGE  \* MERGEFORMAT </w:instrText>
                    </w:r>
                    <w:r>
                      <w:fldChar w:fldCharType="separate"/>
                    </w:r>
                    <w:r>
                      <w:t>41</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1494BE0">
    <w:pPr>
      <w:spacing w:line="230" w:lineRule="auto"/>
      <w:ind w:left="3813"/>
      <w:rPr>
        <w:rFonts w:ascii="宋体" w:hAnsi="宋体" w:cs="宋体"/>
        <w:sz w:val="17"/>
        <w:szCs w:val="17"/>
      </w:rPr>
    </w:pPr>
    <w:r>
      <w:rPr>
        <w:sz w:val="17"/>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4EC9EFBF">
                          <w:pPr>
                            <w:pStyle w:val="5"/>
                          </w:pPr>
                          <w:r>
                            <w:fldChar w:fldCharType="begin"/>
                          </w:r>
                          <w:r>
                            <w:instrText xml:space="preserve"> PAGE  \* MERGEFORMAT </w:instrText>
                          </w:r>
                          <w:r>
                            <w:fldChar w:fldCharType="separate"/>
                          </w:r>
                          <w:r>
                            <w:t>42</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path/>
              <v:fill on="f" focussize="0,0"/>
              <v:stroke on="f"/>
              <v:imagedata o:title=""/>
              <o:lock v:ext="edit" aspectratio="f"/>
              <v:textbox inset="0mm,0mm,0mm,0mm" style="mso-fit-shape-to-text:t;">
                <w:txbxContent>
                  <w:p w14:paraId="4EC9EFBF">
                    <w:pPr>
                      <w:pStyle w:val="5"/>
                    </w:pPr>
                    <w:r>
                      <w:fldChar w:fldCharType="begin"/>
                    </w:r>
                    <w:r>
                      <w:instrText xml:space="preserve"> PAGE  \* MERGEFORMAT </w:instrText>
                    </w:r>
                    <w:r>
                      <w:fldChar w:fldCharType="separate"/>
                    </w:r>
                    <w:r>
                      <w:t>42</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8C50330"/>
    <w:multiLevelType w:val="singleLevel"/>
    <w:tmpl w:val="08C50330"/>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A774851"/>
    <w:rsid w:val="4A77485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link w:val="8"/>
    <w:qFormat/>
    <w:uiPriority w:val="0"/>
    <w:pPr>
      <w:keepNext/>
      <w:jc w:val="center"/>
      <w:outlineLvl w:val="0"/>
    </w:pPr>
    <w:rPr>
      <w:sz w:val="28"/>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Indent"/>
    <w:basedOn w:val="1"/>
    <w:next w:val="4"/>
    <w:uiPriority w:val="0"/>
    <w:pPr>
      <w:ind w:firstLine="552"/>
    </w:pPr>
    <w:rPr>
      <w:rFonts w:ascii="宋体"/>
      <w:sz w:val="28"/>
    </w:rPr>
  </w:style>
  <w:style w:type="paragraph" w:styleId="4">
    <w:name w:val="Body Text First Indent 2"/>
    <w:basedOn w:val="3"/>
    <w:uiPriority w:val="0"/>
    <w:pPr>
      <w:spacing w:after="120"/>
      <w:ind w:left="420" w:leftChars="200" w:firstLine="420" w:firstLineChars="200"/>
    </w:pPr>
    <w:rPr>
      <w:rFonts w:ascii="Times New Roman"/>
      <w:sz w:val="21"/>
    </w:rPr>
  </w:style>
  <w:style w:type="paragraph" w:styleId="5">
    <w:name w:val="footer"/>
    <w:basedOn w:val="1"/>
    <w:next w:val="1"/>
    <w:qFormat/>
    <w:uiPriority w:val="0"/>
    <w:pPr>
      <w:tabs>
        <w:tab w:val="center" w:pos="4153"/>
        <w:tab w:val="right" w:pos="8306"/>
      </w:tabs>
      <w:adjustRightInd w:val="0"/>
      <w:spacing w:line="240" w:lineRule="atLeast"/>
      <w:jc w:val="left"/>
      <w:textAlignment w:val="baseline"/>
    </w:pPr>
    <w:rPr>
      <w:kern w:val="0"/>
      <w:sz w:val="18"/>
    </w:rPr>
  </w:style>
  <w:style w:type="character" w:customStyle="1" w:styleId="8">
    <w:name w:val="标题 1 Char"/>
    <w:link w:val="2"/>
    <w:uiPriority w:val="0"/>
    <w:rPr>
      <w:sz w:val="2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0</Words>
  <Characters>0</Characters>
  <Lines>0</Lines>
  <Paragraphs>0</Paragraphs>
  <TotalTime>0</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2025-06-26T08:39:00Z</dcterms:created>
  <dc:creator>哎呦</dc:creator>
  <cp:lastModifiedBy>哎呦</cp:lastModifiedBy>
  <dcterms:modified xsi:type="dcterms:W3CDTF">2025-06-26T08:39:43Z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E8831DCBDBC8462D818D955C6AC58E77_11</vt:lpwstr>
  </property>
  <property fmtid="{D5CDD505-2E9C-101B-9397-08002B2CF9AE}" pid="4" name="KSOTemplateDocerSaveRecord">
    <vt:lpwstr>eyJoZGlkIjoiNmY2NTZhMDBiNDhiMmU1ZGI1YzkzMmJkNzAwMDlhMmQiLCJ1c2VySWQiOiI0MzQxNzA0MDcifQ==</vt:lpwstr>
  </property>
</Properties>
</file>