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AC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Times New Roman"/>
          <w:b/>
          <w:sz w:val="36"/>
          <w:szCs w:val="36"/>
          <w:lang w:eastAsia="zh-CN"/>
        </w:rPr>
      </w:pPr>
      <w:r>
        <w:rPr>
          <w:rFonts w:hint="eastAsia" w:ascii="仿宋" w:hAnsi="仿宋" w:eastAsia="仿宋" w:cs="Times New Roman"/>
          <w:b/>
          <w:sz w:val="36"/>
          <w:szCs w:val="36"/>
          <w:lang w:eastAsia="zh-CN"/>
        </w:rPr>
        <w:t>陕西科技大学至诚至博“一站式”学生社区二期建设工程项目</w:t>
      </w:r>
    </w:p>
    <w:p w14:paraId="2F880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/>
          <w:b/>
          <w:sz w:val="36"/>
          <w:szCs w:val="36"/>
          <w:lang w:eastAsia="zh-CN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招标清单</w:t>
      </w:r>
      <w:r>
        <w:rPr>
          <w:rFonts w:hint="eastAsia" w:ascii="仿宋" w:hAnsi="仿宋" w:eastAsia="仿宋"/>
          <w:b/>
          <w:sz w:val="36"/>
          <w:szCs w:val="36"/>
        </w:rPr>
        <w:t>编制说明</w:t>
      </w:r>
    </w:p>
    <w:p w14:paraId="34F5AC3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工程概况</w:t>
      </w:r>
    </w:p>
    <w:p w14:paraId="6A40F4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陕西科技大学至诚至博“一站式”学生社区二期建设工程项目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位于西安市陕西科技大学内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建设内容为至诚至博“一站式”学生社区及连体公寓自习室改造。主要工作内容为原室内装修拆除、室内新做、部分外墙拆除新做、增加钢梯、钢雨棚、电气线路拆改、灯具及开关插座换新等。</w:t>
      </w:r>
    </w:p>
    <w:p w14:paraId="6592F0D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编制依据</w:t>
      </w:r>
    </w:p>
    <w:p w14:paraId="3254E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1.《陕西省建设工程工程量清单计价规则》（2009）；</w:t>
      </w:r>
    </w:p>
    <w:p w14:paraId="3FF324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2.执行陕建发〔2017〕270号文件、陕建发〔2019〕45号文、陕建发〔2019〕1246号文相关规定及配套文件；</w:t>
      </w:r>
    </w:p>
    <w:p w14:paraId="7DACAC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3.正常施工组织设计及施工方法；</w:t>
      </w:r>
    </w:p>
    <w:p w14:paraId="75285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4.施工规范及验收规范；</w:t>
      </w:r>
    </w:p>
    <w:p w14:paraId="52561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5.本项目施工图纸；</w:t>
      </w:r>
    </w:p>
    <w:p w14:paraId="0FF4F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6.本项目原始图纸；</w:t>
      </w:r>
    </w:p>
    <w:p w14:paraId="036E7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7.其他相关资料。</w:t>
      </w:r>
    </w:p>
    <w:p w14:paraId="5D30756F">
      <w:pPr>
        <w:ind w:firstLine="281" w:firstLineChars="100"/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需要说明的事项</w:t>
      </w:r>
    </w:p>
    <w:p w14:paraId="464CDB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1.AP无线网路由器材料为甲供材；</w:t>
      </w:r>
    </w:p>
    <w:p w14:paraId="0437C3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2.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线条灯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功率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按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每米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8瓦到10瓦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计取，一站式学生社区中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服务台和楼梯踏步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色温为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3500K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，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其他都是5500K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；长条灯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 xml:space="preserve"> 1800*100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按功率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60到65瓦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，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正白光5500K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，长条灯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1200*100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按功率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45到50瓦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，</w:t>
      </w:r>
      <w:r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  <w:t>正白光5500K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计取；</w:t>
      </w:r>
    </w:p>
    <w:p w14:paraId="38B0D2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3.一站式学生社区楼梯间墙顶面灯条按10mm宽线条灯3500K，踏步灯条按10mm宽线条灯3500K，背景灯条按10mm宽软性线条灯5500K计取；</w:t>
      </w:r>
    </w:p>
    <w:p w14:paraId="2B8075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4.楼梯间墙面施工图中未设计，参照效果图按马赛克墙面计入；</w:t>
      </w:r>
    </w:p>
    <w:p w14:paraId="23638C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5.所有地砖、墙砖、马赛克均按主材甲供考虑，本次预算未计价；</w:t>
      </w:r>
    </w:p>
    <w:p w14:paraId="22FC99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6.拆除工程按照现场勘察情况结合图纸计量，最终工程量应按实结算；</w:t>
      </w:r>
    </w:p>
    <w:p w14:paraId="7D54EA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7.现场堆积垃圾无法计量，本次预算未计入，实际发生时应按工程签证单处理；</w:t>
      </w:r>
    </w:p>
    <w:p w14:paraId="0F6E78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8.外墙通道处墙面及顶面拆除、新做均算至中间框架柱处；</w:t>
      </w:r>
    </w:p>
    <w:p w14:paraId="1ED5DF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color w:val="auto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 w:bidi="ar"/>
        </w:rPr>
        <w:t>9.因外墙面方案及做法暂未确定，本次招标限价及各施工单位投标报价时“造型外立面”清单项均按综合单价300.00元/m2计入，结算时按实调整；</w:t>
      </w:r>
    </w:p>
    <w:p w14:paraId="76BB8DDF"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 w:bidi="ar"/>
        </w:rPr>
        <w:t>10.经与建设单位沟通，本项目暂列金按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 w:bidi="ar"/>
        </w:rPr>
        <w:t>110000.00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 w:bidi="ar"/>
        </w:rPr>
        <w:t>元（不含措施费、规费、税金等）计取；</w:t>
      </w:r>
    </w:p>
    <w:p w14:paraId="2EC510F9">
      <w:pPr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 w:bidi="ar"/>
        </w:rPr>
        <w:t>11.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bidi="ar"/>
        </w:rPr>
        <w:t>采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用广联达云计价平台GCCP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.0版本号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  <w:t>6.4100.23.122</w:t>
      </w:r>
      <w:r>
        <w:rPr>
          <w:rFonts w:hint="eastAsia" w:ascii="仿宋" w:hAnsi="仿宋" w:eastAsia="仿宋" w:cs="仿宋"/>
          <w:color w:val="000000"/>
          <w:sz w:val="28"/>
          <w:szCs w:val="28"/>
          <w:lang w:bidi="ar"/>
        </w:rPr>
        <w:t>编制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 w14:paraId="2B4394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</w:p>
    <w:p w14:paraId="7C033E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right"/>
        <w:textAlignment w:val="auto"/>
        <w:rPr>
          <w:rFonts w:hint="eastAsia" w:ascii="仿宋" w:hAnsi="仿宋" w:eastAsia="仿宋" w:cs="仿宋"/>
          <w:color w:val="000000"/>
          <w:sz w:val="28"/>
          <w:szCs w:val="28"/>
          <w:lang w:val="en-US" w:eastAsia="zh-CN" w:bidi="ar"/>
        </w:rPr>
      </w:pPr>
    </w:p>
    <w:p w14:paraId="178558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righ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04F593"/>
    <w:multiLevelType w:val="singleLevel"/>
    <w:tmpl w:val="5604F59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6725A"/>
    <w:rsid w:val="0583229C"/>
    <w:rsid w:val="08B576D2"/>
    <w:rsid w:val="147A5DBC"/>
    <w:rsid w:val="49D9248B"/>
    <w:rsid w:val="4C0D034C"/>
    <w:rsid w:val="4DFC3CA9"/>
    <w:rsid w:val="51364034"/>
    <w:rsid w:val="5A66725A"/>
    <w:rsid w:val="5EDB3E12"/>
    <w:rsid w:val="62B5332B"/>
    <w:rsid w:val="6DB51235"/>
    <w:rsid w:val="741218FD"/>
    <w:rsid w:val="76404C02"/>
    <w:rsid w:val="792B1BF3"/>
    <w:rsid w:val="7AEC44A5"/>
    <w:rsid w:val="7D2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726</Words>
  <Characters>858</Characters>
  <Lines>0</Lines>
  <Paragraphs>0</Paragraphs>
  <TotalTime>1</TotalTime>
  <ScaleCrop>false</ScaleCrop>
  <LinksUpToDate>false</LinksUpToDate>
  <CharactersWithSpaces>860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2025-03-14T02:01:00Z</dcterms:created>
  <dc:creator>_</dc:creator>
  <cp:lastModifiedBy>马宁</cp:lastModifiedBy>
  <dcterms:modified xsi:type="dcterms:W3CDTF">2025-06-26T03:37:20Z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813EC98C835A442CB57CF5A623EAA59A_11</vt:lpwstr>
  </property>
  <property fmtid="{D5CDD505-2E9C-101B-9397-08002B2CF9AE}" pid="4" name="KSOTemplateDocerSaveRecord">
    <vt:lpwstr>eyJoZGlkIjoiODIyYWUzZWRjMzI4YWU1MDIyNDQ0YjgzN2ZhNWMxMzkiLCJ1c2VySWQiOiI2NDcxNTEzMzMifQ==</vt:lpwstr>
  </property>
</Properties>
</file>