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版本号：2025-HXCT-05220250703002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校学生社区二期建设工程项目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2025-HXCT-052</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校学生社区二期建设工程项目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2025-HXCT-052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校学生社区二期建设工程项目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陕西科技大学校学生社区二期建设工程项目。采购内容:至诚至博“一站式”学生社区及连体公寓自习室改造。主要工作内容为原室内装修拆除、室内新做、部分外墙拆除新做、增加钢梯、钢雨棚、电气线路拆改、灯具及开关插座换新等；主要功能或目标:主要满足“一站式”学生社区党建引领、队伍入驻、学生参与等功能需求；需满足的要求:符合现行国家相关标准要求及施工资质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2、财务状况报告：提供2023（或2024）年度经审计的财务会计报告或提供投标截止时间前三个月内银行出具的资信证明文件或信用担保机构出具的投标担保函。</w:t>
      </w:r>
    </w:p>
    <w:p>
      <w:pPr>
        <w:pStyle w:val="null3"/>
      </w:pPr>
      <w:r>
        <w:rPr>
          <w:rFonts w:ascii="仿宋_GB2312" w:hAnsi="仿宋_GB2312" w:cs="仿宋_GB2312" w:eastAsia="仿宋_GB2312"/>
        </w:rPr>
        <w:t>3、纳税证明：提供投标人自2025年1月以来已缴纳任意一个月完税凭证或税务机关开具的完税证明（任意税种）；依法免税的应提供相关文件证明；</w:t>
      </w:r>
    </w:p>
    <w:p>
      <w:pPr>
        <w:pStyle w:val="null3"/>
      </w:pPr>
      <w:r>
        <w:rPr>
          <w:rFonts w:ascii="仿宋_GB2312" w:hAnsi="仿宋_GB2312" w:cs="仿宋_GB2312" w:eastAsia="仿宋_GB2312"/>
        </w:rPr>
        <w:t>4、社保证明：提供投标人自2025年1月以来已缴存的任意一个月的社会保障资金缴存单据或社保机构开具的社会保险参保缴费情况证明；依法不需要缴纳社会保障资金的投标人应提供相关文件证明；</w:t>
      </w:r>
    </w:p>
    <w:p>
      <w:pPr>
        <w:pStyle w:val="null3"/>
      </w:pPr>
      <w:r>
        <w:rPr>
          <w:rFonts w:ascii="仿宋_GB2312" w:hAnsi="仿宋_GB2312" w:cs="仿宋_GB2312" w:eastAsia="仿宋_GB2312"/>
        </w:rPr>
        <w:t>5、企业资质：供应商具备建筑工程施工总承包三级以上资质（含三级），具有有效的国家建设行政主管部门颁发的安全生产许可证。</w:t>
      </w:r>
    </w:p>
    <w:p>
      <w:pPr>
        <w:pStyle w:val="null3"/>
      </w:pPr>
      <w:r>
        <w:rPr>
          <w:rFonts w:ascii="仿宋_GB2312" w:hAnsi="仿宋_GB2312" w:cs="仿宋_GB2312" w:eastAsia="仿宋_GB2312"/>
        </w:rPr>
        <w:t>6、拟派项目经理 ：拟派项目经理应具备合法有效的二级及以上建筑工程注册建造师资质证书 (含二级) 及合法有效的安全生产考核合格证 (安全 B 证) ，在本单位注册且无在建工程；</w:t>
      </w:r>
    </w:p>
    <w:p>
      <w:pPr>
        <w:pStyle w:val="null3"/>
      </w:pPr>
      <w:r>
        <w:rPr>
          <w:rFonts w:ascii="仿宋_GB2312" w:hAnsi="仿宋_GB2312" w:cs="仿宋_GB2312" w:eastAsia="仿宋_GB2312"/>
        </w:rPr>
        <w:t>7、网站查询截图：供应商及拟派项目经理须在“陕西省住房和城乡建设厅”可查询。招投标资格有效且无不良记录(供应商应提供具备上述要求的平台查询截图)。</w:t>
      </w:r>
    </w:p>
    <w:p>
      <w:pPr>
        <w:pStyle w:val="null3"/>
      </w:pPr>
      <w:r>
        <w:rPr>
          <w:rFonts w:ascii="仿宋_GB2312" w:hAnsi="仿宋_GB2312" w:cs="仿宋_GB2312" w:eastAsia="仿宋_GB2312"/>
        </w:rPr>
        <w:t>8、重大违法记录声明：参加政府采购活动前3年内在经营活动中没有重大违法记录的书面声明（原件）。</w:t>
      </w:r>
    </w:p>
    <w:p>
      <w:pPr>
        <w:pStyle w:val="null3"/>
      </w:pPr>
      <w:r>
        <w:rPr>
          <w:rFonts w:ascii="仿宋_GB2312" w:hAnsi="仿宋_GB2312" w:cs="仿宋_GB2312" w:eastAsia="仿宋_GB2312"/>
        </w:rPr>
        <w:t>9、法定代表人授权书：法定代表人直接参加投标的，须提供法定代表人身份证明；法定代表人授权代表参加投标的，须提供法定代表人授权委托书。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86168377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18066718602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陕西科技大学建设工程招标代理协议中招标代理服务费收费标准的有关规定执行。即（60万元（不含）以上得项目收费参考国家计委计价格[2002]1980号文规定之收费标准下浮50%收取；（60万元（含）以下得项目，按项目每项3000元包干收取。）成交单位在领取成交通知书前，须向招标代理机构一次性支付代理服务费。具体收费金额将在中标公告中公布。</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政府采购验收单</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联系人：杨靖</w:t>
      </w:r>
    </w:p>
    <w:p>
      <w:pPr>
        <w:pStyle w:val="null3"/>
      </w:pPr>
      <w:r>
        <w:rPr>
          <w:rFonts w:ascii="仿宋_GB2312" w:hAnsi="仿宋_GB2312" w:cs="仿宋_GB2312" w:eastAsia="仿宋_GB2312"/>
        </w:rPr>
        <w:t>联系电话：18066718602</w:t>
      </w:r>
    </w:p>
    <w:p>
      <w:pPr>
        <w:pStyle w:val="null3"/>
      </w:pPr>
      <w:r>
        <w:rPr>
          <w:rFonts w:ascii="仿宋_GB2312" w:hAnsi="仿宋_GB2312" w:cs="仿宋_GB2312" w:eastAsia="仿宋_GB2312"/>
        </w:rPr>
        <w:t>地址：西安市未央区凤城七路长和国际 D 座 26 楼</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1,335,937.75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陕西科技大学校学生社区二期建设工程项目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标的名称：陕西科技大学校学生社区二期建设工程项目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一、采购内容</w:t>
            </w:r>
          </w:p>
          <w:p>
            <w:pPr>
              <w:pStyle w:val="null3"/>
              <w:ind w:firstLine="480"/>
              <w:jc w:val="left"/>
            </w:pPr>
            <w:r>
              <w:rPr>
                <w:rFonts w:ascii="仿宋_GB2312" w:hAnsi="仿宋_GB2312" w:cs="仿宋_GB2312" w:eastAsia="仿宋_GB2312"/>
                <w:sz w:val="24"/>
              </w:rPr>
              <w:t>本</w:t>
            </w:r>
            <w:r>
              <w:rPr>
                <w:rFonts w:ascii="仿宋_GB2312" w:hAnsi="仿宋_GB2312" w:cs="仿宋_GB2312" w:eastAsia="仿宋_GB2312"/>
                <w:sz w:val="24"/>
              </w:rPr>
              <w:t>项目</w:t>
            </w:r>
            <w:r>
              <w:rPr>
                <w:rFonts w:ascii="仿宋_GB2312" w:hAnsi="仿宋_GB2312" w:cs="仿宋_GB2312" w:eastAsia="仿宋_GB2312"/>
                <w:sz w:val="24"/>
              </w:rPr>
              <w:t>为</w:t>
            </w:r>
            <w:r>
              <w:rPr>
                <w:rFonts w:ascii="仿宋_GB2312" w:hAnsi="仿宋_GB2312" w:cs="仿宋_GB2312" w:eastAsia="仿宋_GB2312"/>
                <w:sz w:val="24"/>
              </w:rPr>
              <w:t>陕西科技大学校学生社区二期建设工程项目</w:t>
            </w:r>
            <w:r>
              <w:rPr>
                <w:rFonts w:ascii="仿宋_GB2312" w:hAnsi="仿宋_GB2312" w:cs="仿宋_GB2312" w:eastAsia="仿宋_GB2312"/>
                <w:sz w:val="24"/>
              </w:rPr>
              <w:t>。采购内容</w:t>
            </w:r>
            <w:r>
              <w:rPr>
                <w:rFonts w:ascii="仿宋_GB2312" w:hAnsi="仿宋_GB2312" w:cs="仿宋_GB2312" w:eastAsia="仿宋_GB2312"/>
                <w:sz w:val="24"/>
              </w:rPr>
              <w:t>:至诚至博“一站式”学生社区及连体公寓自习室改造。主要工作内容为原室内装修拆除、室内新做、部分外墙拆除新做、增加钢梯、钢雨棚、电气线路拆改、灯具及开关插座换新等；主要功能或目标:主要满足“一站式”学生社区党建引领、队伍入驻、学生参与等功能需求；需满足的要求:符合现行国家相关标准要求及施工资质要求。</w:t>
            </w:r>
          </w:p>
          <w:p>
            <w:pPr>
              <w:pStyle w:val="null3"/>
              <w:jc w:val="both"/>
            </w:pPr>
            <w:r>
              <w:rPr>
                <w:rFonts w:ascii="仿宋_GB2312" w:hAnsi="仿宋_GB2312" w:cs="仿宋_GB2312" w:eastAsia="仿宋_GB2312"/>
                <w:sz w:val="24"/>
                <w:b/>
              </w:rPr>
              <w:t>二、商务要求</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1）项目</w:t>
            </w:r>
            <w:r>
              <w:rPr>
                <w:rFonts w:ascii="仿宋_GB2312" w:hAnsi="仿宋_GB2312" w:cs="仿宋_GB2312" w:eastAsia="仿宋_GB2312"/>
                <w:sz w:val="24"/>
                <w:b/>
              </w:rPr>
              <w:t>地点</w:t>
            </w:r>
            <w:r>
              <w:rPr>
                <w:rFonts w:ascii="仿宋_GB2312" w:hAnsi="仿宋_GB2312" w:cs="仿宋_GB2312" w:eastAsia="仿宋_GB2312"/>
                <w:sz w:val="24"/>
              </w:rPr>
              <w:t>：</w:t>
            </w:r>
            <w:r>
              <w:rPr>
                <w:rFonts w:ascii="仿宋_GB2312" w:hAnsi="仿宋_GB2312" w:cs="仿宋_GB2312" w:eastAsia="仿宋_GB2312"/>
                <w:sz w:val="24"/>
              </w:rPr>
              <w:t>甲方指定地点</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2）计划工期：</w:t>
            </w:r>
            <w:r>
              <w:rPr>
                <w:rFonts w:ascii="仿宋_GB2312" w:hAnsi="仿宋_GB2312" w:cs="仿宋_GB2312" w:eastAsia="仿宋_GB2312"/>
                <w:sz w:val="24"/>
              </w:rPr>
              <w:t>自进场之日起</w:t>
            </w:r>
            <w:r>
              <w:rPr>
                <w:rFonts w:ascii="仿宋_GB2312" w:hAnsi="仿宋_GB2312" w:cs="仿宋_GB2312" w:eastAsia="仿宋_GB2312"/>
                <w:sz w:val="24"/>
              </w:rPr>
              <w:t>50个日历日内竣工</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3）工程质量</w:t>
            </w:r>
            <w:r>
              <w:rPr>
                <w:rFonts w:ascii="仿宋_GB2312" w:hAnsi="仿宋_GB2312" w:cs="仿宋_GB2312" w:eastAsia="仿宋_GB2312"/>
                <w:sz w:val="24"/>
                <w:b/>
              </w:rPr>
              <w:t>及质保期</w:t>
            </w:r>
            <w:r>
              <w:rPr>
                <w:rFonts w:ascii="仿宋_GB2312" w:hAnsi="仿宋_GB2312" w:cs="仿宋_GB2312" w:eastAsia="仿宋_GB2312"/>
                <w:sz w:val="24"/>
                <w:b/>
              </w:rPr>
              <w:t>：</w:t>
            </w:r>
            <w:r>
              <w:rPr>
                <w:rFonts w:ascii="仿宋_GB2312" w:hAnsi="仿宋_GB2312" w:cs="仿宋_GB2312" w:eastAsia="仿宋_GB2312"/>
                <w:sz w:val="24"/>
              </w:rPr>
              <w:t>达到国家施工验收规范合格标准和西安市有关质量标准和要求</w:t>
            </w:r>
            <w:r>
              <w:rPr>
                <w:rFonts w:ascii="仿宋_GB2312" w:hAnsi="仿宋_GB2312" w:cs="仿宋_GB2312" w:eastAsia="仿宋_GB2312"/>
                <w:sz w:val="24"/>
              </w:rPr>
              <w:t>，质保期两年。</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4）竞争性磋商有效期：</w:t>
            </w:r>
            <w:r>
              <w:rPr>
                <w:rFonts w:ascii="仿宋_GB2312" w:hAnsi="仿宋_GB2312" w:cs="仿宋_GB2312" w:eastAsia="仿宋_GB2312"/>
                <w:sz w:val="24"/>
                <w:b/>
              </w:rPr>
              <w:t>90日历天</w:t>
            </w:r>
          </w:p>
          <w:p>
            <w:pPr>
              <w:pStyle w:val="null3"/>
              <w:spacing w:after="120"/>
              <w:ind w:firstLine="482"/>
              <w:jc w:val="both"/>
            </w:pPr>
            <w:r>
              <w:rPr>
                <w:rFonts w:ascii="仿宋_GB2312" w:hAnsi="仿宋_GB2312" w:cs="仿宋_GB2312" w:eastAsia="仿宋_GB2312"/>
                <w:sz w:val="24"/>
                <w:b/>
              </w:rPr>
              <w:t>（</w:t>
            </w:r>
            <w:r>
              <w:rPr>
                <w:rFonts w:ascii="仿宋_GB2312" w:hAnsi="仿宋_GB2312" w:cs="仿宋_GB2312" w:eastAsia="仿宋_GB2312"/>
                <w:sz w:val="24"/>
                <w:b/>
              </w:rPr>
              <w:t>5）施工要求：</w:t>
            </w:r>
            <w:r>
              <w:rPr>
                <w:rFonts w:ascii="仿宋_GB2312" w:hAnsi="仿宋_GB2312" w:cs="仿宋_GB2312" w:eastAsia="仿宋_GB2312"/>
                <w:sz w:val="24"/>
              </w:rPr>
              <w:t>在施工期间，中标供应商必须注意院内人员安全，加强安全措施，并对施工人员进行安全教育。服从学校门卫的检查，按照要求只能在施工区域活动，学校其他区域不得进入。施工人员必须持证上岗。因采购人工作的特殊性，要求中标供应商在施工中做到封闭性施工。</w:t>
            </w:r>
          </w:p>
          <w:p>
            <w:pPr>
              <w:pStyle w:val="null3"/>
              <w:jc w:val="both"/>
            </w:pPr>
            <w:r>
              <w:rPr>
                <w:rFonts w:ascii="仿宋_GB2312" w:hAnsi="仿宋_GB2312" w:cs="仿宋_GB2312" w:eastAsia="仿宋_GB2312"/>
                <w:sz w:val="24"/>
                <w:b/>
              </w:rPr>
              <w:t>三、磋商报价：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合同价包括：</w:t>
            </w:r>
            <w:r>
              <w:rPr>
                <w:rFonts w:ascii="仿宋_GB2312" w:hAnsi="仿宋_GB2312" w:cs="仿宋_GB2312" w:eastAsia="仿宋_GB2312"/>
                <w:sz w:val="24"/>
              </w:rPr>
              <w:t>产品购置费</w:t>
            </w:r>
            <w:r>
              <w:rPr>
                <w:rFonts w:ascii="仿宋_GB2312" w:hAnsi="仿宋_GB2312" w:cs="仿宋_GB2312" w:eastAsia="仿宋_GB2312"/>
                <w:sz w:val="24"/>
              </w:rPr>
              <w:t>、管理费、运输费、搬运费、人工费、安装</w:t>
            </w:r>
            <w:r>
              <w:rPr>
                <w:rFonts w:ascii="仿宋_GB2312" w:hAnsi="仿宋_GB2312" w:cs="仿宋_GB2312" w:eastAsia="仿宋_GB2312"/>
                <w:sz w:val="24"/>
              </w:rPr>
              <w:t>调试</w:t>
            </w:r>
            <w:r>
              <w:rPr>
                <w:rFonts w:ascii="仿宋_GB2312" w:hAnsi="仿宋_GB2312" w:cs="仿宋_GB2312" w:eastAsia="仿宋_GB2312"/>
                <w:sz w:val="24"/>
              </w:rPr>
              <w:t>费、培训</w:t>
            </w:r>
            <w:r>
              <w:rPr>
                <w:rFonts w:ascii="仿宋_GB2312" w:hAnsi="仿宋_GB2312" w:cs="仿宋_GB2312" w:eastAsia="仿宋_GB2312"/>
                <w:sz w:val="24"/>
              </w:rPr>
              <w:t>费、</w:t>
            </w:r>
            <w:r>
              <w:rPr>
                <w:rFonts w:ascii="仿宋_GB2312" w:hAnsi="仿宋_GB2312" w:cs="仿宋_GB2312" w:eastAsia="仿宋_GB2312"/>
                <w:sz w:val="24"/>
              </w:rPr>
              <w:t>利润、税金、保险等的一切费用。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合同有效期内，合同价一次包死，不受国家政策性调价或原材料价格变化及外汇汇率变化的影响，并作为最终结算的唯一依据。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结算方式：</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工程竣工、验收合格后</w:t>
            </w:r>
            <w:r>
              <w:rPr>
                <w:rFonts w:ascii="仿宋_GB2312" w:hAnsi="仿宋_GB2312" w:cs="仿宋_GB2312" w:eastAsia="仿宋_GB2312"/>
                <w:sz w:val="24"/>
              </w:rPr>
              <w:t>15</w:t>
            </w:r>
            <w:r>
              <w:rPr>
                <w:rFonts w:ascii="仿宋_GB2312" w:hAnsi="仿宋_GB2312" w:cs="仿宋_GB2312" w:eastAsia="仿宋_GB2312"/>
                <w:sz w:val="24"/>
              </w:rPr>
              <w:t>个工作日内支付合同总价款（不含暂列金）的</w:t>
            </w:r>
            <w:r>
              <w:rPr>
                <w:rFonts w:ascii="仿宋_GB2312" w:hAnsi="仿宋_GB2312" w:cs="仿宋_GB2312" w:eastAsia="仿宋_GB2312"/>
                <w:sz w:val="24"/>
              </w:rPr>
              <w:t>70%</w:t>
            </w:r>
            <w:r>
              <w:rPr>
                <w:rFonts w:ascii="仿宋_GB2312" w:hAnsi="仿宋_GB2312" w:cs="仿宋_GB2312" w:eastAsia="仿宋_GB2312"/>
                <w:sz w:val="24"/>
              </w:rPr>
              <w:t xml:space="preserve">； </w:t>
            </w:r>
            <w:r>
              <w:rPr>
                <w:rFonts w:ascii="仿宋_GB2312" w:hAnsi="仿宋_GB2312" w:cs="仿宋_GB2312" w:eastAsia="仿宋_GB2312"/>
                <w:sz w:val="24"/>
              </w:rPr>
              <w:t>②</w:t>
            </w:r>
            <w:r>
              <w:rPr>
                <w:rFonts w:ascii="仿宋_GB2312" w:hAnsi="仿宋_GB2312" w:cs="仿宋_GB2312" w:eastAsia="仿宋_GB2312"/>
                <w:sz w:val="24"/>
              </w:rPr>
              <w:t xml:space="preserve">待审计完成后，支付至最终审定总价的 </w:t>
            </w:r>
            <w:r>
              <w:rPr>
                <w:rFonts w:ascii="仿宋_GB2312" w:hAnsi="仿宋_GB2312" w:cs="仿宋_GB2312" w:eastAsia="仿宋_GB2312"/>
                <w:sz w:val="24"/>
              </w:rPr>
              <w:t>97%</w:t>
            </w:r>
            <w:r>
              <w:rPr>
                <w:rFonts w:ascii="仿宋_GB2312" w:hAnsi="仿宋_GB2312" w:cs="仿宋_GB2312" w:eastAsia="仿宋_GB2312"/>
                <w:sz w:val="24"/>
              </w:rPr>
              <w:t>；</w:t>
            </w:r>
            <w:r>
              <w:rPr>
                <w:rFonts w:ascii="仿宋_GB2312" w:hAnsi="仿宋_GB2312" w:cs="仿宋_GB2312" w:eastAsia="仿宋_GB2312"/>
                <w:sz w:val="24"/>
              </w:rPr>
              <w:t>③</w:t>
            </w:r>
            <w:r>
              <w:rPr>
                <w:rFonts w:ascii="仿宋_GB2312" w:hAnsi="仿宋_GB2312" w:cs="仿宋_GB2312" w:eastAsia="仿宋_GB2312"/>
                <w:sz w:val="24"/>
              </w:rPr>
              <w:t>剩余的</w:t>
            </w:r>
            <w:r>
              <w:rPr>
                <w:rFonts w:ascii="仿宋_GB2312" w:hAnsi="仿宋_GB2312" w:cs="仿宋_GB2312" w:eastAsia="仿宋_GB2312"/>
                <w:sz w:val="24"/>
              </w:rPr>
              <w:t>3%</w:t>
            </w:r>
            <w:r>
              <w:rPr>
                <w:rFonts w:ascii="仿宋_GB2312" w:hAnsi="仿宋_GB2312" w:cs="仿宋_GB2312" w:eastAsia="仿宋_GB2312"/>
                <w:sz w:val="24"/>
              </w:rPr>
              <w:t>作为质保金，在质保期满后</w:t>
            </w:r>
            <w:r>
              <w:rPr>
                <w:rFonts w:ascii="仿宋_GB2312" w:hAnsi="仿宋_GB2312" w:cs="仿宋_GB2312" w:eastAsia="仿宋_GB2312"/>
                <w:sz w:val="24"/>
              </w:rPr>
              <w:t>7</w:t>
            </w:r>
            <w:r>
              <w:rPr>
                <w:rFonts w:ascii="仿宋_GB2312" w:hAnsi="仿宋_GB2312" w:cs="仿宋_GB2312" w:eastAsia="仿宋_GB2312"/>
                <w:sz w:val="24"/>
              </w:rPr>
              <w:t>个工作日内无息退还。。</w:t>
            </w:r>
          </w:p>
          <w:p>
            <w:pPr>
              <w:pStyle w:val="null3"/>
              <w:ind w:firstLine="480"/>
              <w:jc w:val="both"/>
            </w:pPr>
            <w:r>
              <w:rPr>
                <w:rFonts w:ascii="仿宋_GB2312" w:hAnsi="仿宋_GB2312" w:cs="仿宋_GB2312" w:eastAsia="仿宋_GB2312"/>
                <w:sz w:val="24"/>
              </w:rPr>
              <w:t>结算单位：</w:t>
            </w:r>
            <w:r>
              <w:rPr>
                <w:rFonts w:ascii="仿宋_GB2312" w:hAnsi="仿宋_GB2312" w:cs="仿宋_GB2312" w:eastAsia="仿宋_GB2312"/>
                <w:sz w:val="24"/>
              </w:rPr>
              <w:t>陕西科技大学</w:t>
            </w:r>
            <w:r>
              <w:rPr>
                <w:rFonts w:ascii="仿宋_GB2312" w:hAnsi="仿宋_GB2312" w:cs="仿宋_GB2312" w:eastAsia="仿宋_GB2312"/>
                <w:sz w:val="24"/>
              </w:rPr>
              <w:t>。有关部门验收合格后，</w:t>
            </w:r>
            <w:r>
              <w:rPr>
                <w:rFonts w:ascii="仿宋_GB2312" w:hAnsi="仿宋_GB2312" w:cs="仿宋_GB2312" w:eastAsia="仿宋_GB2312"/>
                <w:sz w:val="24"/>
              </w:rPr>
              <w:t>供应商</w:t>
            </w:r>
            <w:r>
              <w:rPr>
                <w:rFonts w:ascii="仿宋_GB2312" w:hAnsi="仿宋_GB2312" w:cs="仿宋_GB2312" w:eastAsia="仿宋_GB2312"/>
                <w:sz w:val="24"/>
              </w:rPr>
              <w:t>凭政府采购验收单、合同、</w:t>
            </w:r>
            <w:r>
              <w:rPr>
                <w:rFonts w:ascii="仿宋_GB2312" w:hAnsi="仿宋_GB2312" w:cs="仿宋_GB2312" w:eastAsia="仿宋_GB2312"/>
                <w:sz w:val="24"/>
              </w:rPr>
              <w:t>成交通知书</w:t>
            </w:r>
            <w:r>
              <w:rPr>
                <w:rFonts w:ascii="仿宋_GB2312" w:hAnsi="仿宋_GB2312" w:cs="仿宋_GB2312" w:eastAsia="仿宋_GB2312"/>
                <w:sz w:val="24"/>
              </w:rPr>
              <w:t>及发票原件到相关部门办理结算手续。</w:t>
            </w:r>
          </w:p>
          <w:p>
            <w:pPr>
              <w:pStyle w:val="null3"/>
              <w:jc w:val="both"/>
            </w:pPr>
            <w:r>
              <w:rPr>
                <w:rFonts w:ascii="仿宋_GB2312" w:hAnsi="仿宋_GB2312" w:cs="仿宋_GB2312" w:eastAsia="仿宋_GB2312"/>
                <w:sz w:val="24"/>
                <w:b/>
              </w:rPr>
              <w:t>注：商务要求为实质性要求，不得负偏离。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达到国家施工验收规范合格标准和西安市有关质量标准和要求，质保期两年。</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中标供应商必须注意院内人员安全，加强安全措施，并对施工人员进行安全教育。服从学校门卫的检查，按照要求只能在施工区域活动，学校其他区域不得进入。施工人员必须持证上岗。因采购人工作的特殊性，要求中标供应商在施工中做到封闭性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提供2023（或2024）年度经审计的财务会计报告或提供投标截止时间前三个月内银行出具的资信证明文件或信用担保机构出具的投标担保函。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提供投标人自2025年1月以来已缴纳任意一个月完税凭证或税务机关开具的完税证明（任意税种）；依法免税的应提供相关文件证明；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提供投标人自2025年1月以来已缴存的任意一个月的社会保障资金缴存单据或社保机构开具的社会保险参保缴费情况证明；依法不需要缴纳社会保障资金的投标人应提供相关文件证明；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供应商具备建筑工程施工总承包三级以上资质（含三级），具有有效的国家建设行政主管部门颁发的安全生产许可证。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拟派项目经理应具备合法有效的二级及以上建筑工程注册建造师资质证书 (含二级) 及合法有效的安全生产考核合格证 (安全 B 证) ，在本单位注册且无在建工程；</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网站查询截图</w:t>
            </w:r>
          </w:p>
        </w:tc>
        <w:tc>
          <w:tcPr>
            <w:tcW w:type="dxa" w:w="3322"/>
          </w:tcPr>
          <w:p>
            <w:pPr>
              <w:pStyle w:val="null3"/>
            </w:pPr>
            <w:r>
              <w:rPr>
                <w:rFonts w:ascii="仿宋_GB2312" w:hAnsi="仿宋_GB2312" w:cs="仿宋_GB2312" w:eastAsia="仿宋_GB2312"/>
              </w:rPr>
              <w:t>供应商及拟派项目经理须在“陕西省住房和城乡建设厅”可查询。招投标资格有效且无不良记录(供应商应提供具备上述要求的平台查询截图)。</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与营业执照、资质证书、安全生产许可证一致</w:t>
            </w:r>
          </w:p>
        </w:tc>
        <w:tc>
          <w:tcPr>
            <w:tcW w:type="dxa" w:w="1661"/>
          </w:tcPr>
          <w:p>
            <w:pPr>
              <w:pStyle w:val="null3"/>
            </w:pPr>
            <w:r>
              <w:rPr>
                <w:rFonts w:ascii="仿宋_GB2312" w:hAnsi="仿宋_GB2312" w:cs="仿宋_GB2312" w:eastAsia="仿宋_GB2312"/>
              </w:rPr>
              <w:t>偏离表 施工组织设计 已标价工程量清单 供应商认为需要提供的其他资料 中小企业声明函 响应文件封面 政府采购供应商拒绝政府采购领域商业贿赂承诺书 残疾人福利性单位声明函 报价函 企业实力情况说明 标的清单 响应函 供应商资格证明文件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竞争性磋商响应函签字盖章</w:t>
            </w:r>
          </w:p>
        </w:tc>
        <w:tc>
          <w:tcPr>
            <w:tcW w:type="dxa" w:w="3322"/>
          </w:tcPr>
          <w:p>
            <w:pPr>
              <w:pStyle w:val="null3"/>
            </w:pPr>
            <w:r>
              <w:rPr>
                <w:rFonts w:ascii="仿宋_GB2312" w:hAnsi="仿宋_GB2312" w:cs="仿宋_GB2312" w:eastAsia="仿宋_GB2312"/>
              </w:rPr>
              <w:t>有法定代表人或委托代理人签字(或盖章)并加盖单位章</w:t>
            </w:r>
          </w:p>
        </w:tc>
        <w:tc>
          <w:tcPr>
            <w:tcW w:type="dxa" w:w="1661"/>
          </w:tcPr>
          <w:p>
            <w:pPr>
              <w:pStyle w:val="null3"/>
            </w:pPr>
            <w:r>
              <w:rPr>
                <w:rFonts w:ascii="仿宋_GB2312" w:hAnsi="仿宋_GB2312" w:cs="仿宋_GB2312" w:eastAsia="仿宋_GB2312"/>
              </w:rPr>
              <w:t>偏离表 施工组织设计 已标价工程量清单 供应商认为需要提供的其他资料 中小企业声明函 响应文件封面 政府采购供应商拒绝政府采购领域商业贿赂承诺书 残疾人福利性单位声明函 报价函 企业实力情况说明 标的清单 响应函 供应商资格证明文件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竞争性磋商响应文件格式</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偏离表 已标价工程量清单 施工组织设计 供应商认为需要提供的其他资料 中小企业声明函 响应文件封面 政府采购供应商拒绝政府采购领域商业贿赂承诺书 残疾人福利性单位声明函 报价函 企业实力情况说明 标的清单 响应函 供应商资格证明文件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每次报价只能有一个有效报价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工程质量及质保期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偏离表 已标价工程量清单 施工组织设计 供应商认为需要提供的其他资料 中小企业声明函 响应文件封面 政府采购供应商拒绝政府采购领域商业贿赂承诺书 残疾人福利性单位声明函 报价函 企业实力情况说明 标的清单 响应函 供应商资格证明文件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竞争性磋商有效期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偏离表 施工组织设计 已标价工程量清单 供应商认为需要提供的其他资料 中小企业声明函 响应文件封面 政府采购供应商拒绝政府采购领域商业贿赂承诺书 残疾人福利性单位声明函 报价函 企业实力情况说明 标的清单 响应函 供应商资格证明文件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符合“工程量清单”给出的名称、计量单位和工程量。</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提供针对本项目的具体分项工程实施思路、工作计划，充分理解项目需求，整体方案设计符合使用场景标准规范要求，效果有保障。 思路清晰、方向明确，工作计划详细、合理，完全满足本项目需求，方案针对性强、直观得（7-10]分； 思路基本清晰、方向基本明确，工作计划基本详细、合理，基本满足本项目需求，方案针对性一般、笼统得（4-7]分； 思路表达不清、方向不明确，工作计划合理性一般，部分满足本项目需求，方案针对性弱、不明确得（0-4]分。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提供针对本项目措施方案，包括但不限于对施工进行全过程的质量检查，对各阶段施工材料、施工方法及环境等的措施内容，措施内容合理可行完全符合项目采购需求的得(5-10]分，措施内容合理可行基本满足项目采购需求的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确保安全生产的技术 组织措施</w:t>
            </w:r>
          </w:p>
        </w:tc>
        <w:tc>
          <w:tcPr>
            <w:tcW w:type="dxa" w:w="2492"/>
          </w:tcPr>
          <w:p>
            <w:pPr>
              <w:pStyle w:val="null3"/>
            </w:pPr>
            <w:r>
              <w:rPr>
                <w:rFonts w:ascii="仿宋_GB2312" w:hAnsi="仿宋_GB2312" w:cs="仿宋_GB2312" w:eastAsia="仿宋_GB2312"/>
              </w:rPr>
              <w:t>提供针对本项目制定的措施方案，包括但不限于安全保障体系、管理制度、安全教育培训等内容，措施内容有效可行并完全符合项目采购需求的得(5-10]分,措施内容有效可行基本符合项目采购需求的得(0-5]分。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确保工期的技术组织 措施</w:t>
            </w:r>
          </w:p>
        </w:tc>
        <w:tc>
          <w:tcPr>
            <w:tcW w:type="dxa" w:w="2492"/>
          </w:tcPr>
          <w:p>
            <w:pPr>
              <w:pStyle w:val="null3"/>
            </w:pPr>
            <w:r>
              <w:rPr>
                <w:rFonts w:ascii="仿宋_GB2312" w:hAnsi="仿宋_GB2312" w:cs="仿宋_GB2312" w:eastAsia="仿宋_GB2312"/>
              </w:rPr>
              <w:t>提供针对本项目制定的措施方案，包括但不限于施工进度阶段控制、划分各节点工期,分析确定重点工程工期等内容，措施内容有效可行并完全符合项目采购需求的得(5-10]分,措施内容有效可行基本符合项目采购需求的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项目管理机构与劳动力安排计划</w:t>
            </w:r>
          </w:p>
        </w:tc>
        <w:tc>
          <w:tcPr>
            <w:tcW w:type="dxa" w:w="2492"/>
          </w:tcPr>
          <w:p>
            <w:pPr>
              <w:pStyle w:val="null3"/>
            </w:pPr>
            <w:r>
              <w:rPr>
                <w:rFonts w:ascii="仿宋_GB2312" w:hAnsi="仿宋_GB2312" w:cs="仿宋_GB2312" w:eastAsia="仿宋_GB2312"/>
              </w:rPr>
              <w:t>项目管理机构业务能力强、管理水平高和具有相关施工经验，劳动力安排配备合理、分工明确并完全符合项目采购需求的得(5-10]分,基本符合项目采购需求的得(0-5]分。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设备配备和材料投入计划</w:t>
            </w:r>
          </w:p>
        </w:tc>
        <w:tc>
          <w:tcPr>
            <w:tcW w:type="dxa" w:w="2492"/>
          </w:tcPr>
          <w:p>
            <w:pPr>
              <w:pStyle w:val="null3"/>
            </w:pPr>
            <w:r>
              <w:rPr>
                <w:rFonts w:ascii="仿宋_GB2312" w:hAnsi="仿宋_GB2312" w:cs="仿宋_GB2312" w:eastAsia="仿宋_GB2312"/>
              </w:rPr>
              <w:t>提供针对本项目制定的计划，包括但不限于主要工程材料计划及主要设备配备、合理布局等内容，计划有效可行并完全符合项目采购需求的得(3-5]分,计划有效可行并部分符合项目采购需求的得(0-3]分。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供应商提供2022年6月起至今类似业绩合同，每一项1分，（以合同签订时间为准），最高得5分。 注：附合同关键页（应包含合同首页、采购内容、金额所在页和签字盖章页及合同签订日期页等）。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 磋商报价得分= (磋商基准价/最后磋商报价)×40 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详见附件：施工组织设计</w:t>
      </w:r>
    </w:p>
    <w:p>
      <w:pPr>
        <w:pStyle w:val="null3"/>
        <w:ind w:firstLine="960"/>
      </w:pPr>
      <w:r>
        <w:rPr>
          <w:rFonts w:ascii="仿宋_GB2312" w:hAnsi="仿宋_GB2312" w:cs="仿宋_GB2312" w:eastAsia="仿宋_GB2312"/>
        </w:rPr>
        <w:t>详见附件：偏离表</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详见附件：企业实力情况说明</w:t>
      </w:r>
    </w:p>
    <w:p>
      <w:pPr>
        <w:pStyle w:val="null3"/>
        <w:ind w:firstLine="960"/>
      </w:pPr>
      <w:r>
        <w:rPr>
          <w:rFonts w:ascii="仿宋_GB2312" w:hAnsi="仿宋_GB2312" w:cs="仿宋_GB2312" w:eastAsia="仿宋_GB2312"/>
        </w:rPr>
        <w:t>详见附件：供应商认为需要提供的其他资料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