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版本号：RTZB-2025-204620250626001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2026届春秋季大型招聘会布展服务项目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RTZB-2025-2046</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2026届春秋季大型招聘会布展服务项目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RTZB-2025-2046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2026届春秋季大型招聘会布展服务项目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是针对2026届毕业生春秋季综合类大型就业洽谈会（2场）布展服务进行招标。每场就业洽谈会拟设立约800个展位。每个展位需要帐篷，桌子，椅子及宣传品等组成（具体要求详见采购需求）。为保证现场安全，要求此类物品必须是优质产品，同时符合室外布展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采购包1（2026届春秋季大型招聘会布展服务）：属于专门面向中小企业采购。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2、注册证照：法人企业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p>
      <w:pPr>
        <w:pStyle w:val="null3"/>
      </w:pPr>
      <w:r>
        <w:rPr>
          <w:rFonts w:ascii="仿宋_GB2312" w:hAnsi="仿宋_GB2312" w:cs="仿宋_GB2312" w:eastAsia="仿宋_GB2312"/>
        </w:rPr>
        <w:t>3、供应商代表授权：提供法定代表人证明书及代表人授权委托书</w:t>
      </w:r>
    </w:p>
    <w:p>
      <w:pPr>
        <w:pStyle w:val="null3"/>
      </w:pPr>
      <w:r>
        <w:rPr>
          <w:rFonts w:ascii="仿宋_GB2312" w:hAnsi="仿宋_GB2312" w:cs="仿宋_GB2312" w:eastAsia="仿宋_GB2312"/>
        </w:rPr>
        <w:t>4、履约能力：提供具有履行本合同所必需的专业技术能力的声明</w:t>
      </w:r>
    </w:p>
    <w:p>
      <w:pPr>
        <w:pStyle w:val="null3"/>
      </w:pPr>
      <w:r>
        <w:rPr>
          <w:rFonts w:ascii="仿宋_GB2312" w:hAnsi="仿宋_GB2312" w:cs="仿宋_GB2312" w:eastAsia="仿宋_GB2312"/>
        </w:rPr>
        <w:t>5、财务状况证明：提供2023或2024年度经第三方会计事务所审计过的财务报告，或磋商截止时间前6个月内基本账户银行出具的资信证明。注：①提供财务报告的，内容至少包括：审计报告、附注。②提供资信证明的，必须提供资信证明全部页以及基本户信息（提供开户许可证或提供基本银行账户信息加盖公章）。银行出具的存款证明不能代替资信证明，存款证明无效。</w:t>
      </w:r>
    </w:p>
    <w:p>
      <w:pPr>
        <w:pStyle w:val="null3"/>
      </w:pPr>
      <w:r>
        <w:rPr>
          <w:rFonts w:ascii="仿宋_GB2312" w:hAnsi="仿宋_GB2312" w:cs="仿宋_GB2312" w:eastAsia="仿宋_GB2312"/>
        </w:rPr>
        <w:t>6、纳税证明：提供2025年1月1日至今至少一个月依法纳税的证明（税种须至少包含增值税或企业所得税的一种），依法免税的应提供相关证明；成立不足一个月的提供将依法纳税的承诺书。注：①新成立企业（成立一个月内）暂无纳税的提供说明加盖公章。②零报税的提供申报成功的凭证。③时间以税款所属时段为准。</w:t>
      </w:r>
    </w:p>
    <w:p>
      <w:pPr>
        <w:pStyle w:val="null3"/>
      </w:pPr>
      <w:r>
        <w:rPr>
          <w:rFonts w:ascii="仿宋_GB2312" w:hAnsi="仿宋_GB2312" w:cs="仿宋_GB2312" w:eastAsia="仿宋_GB2312"/>
        </w:rPr>
        <w:t>7、社保缴纳证明：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p>
      <w:pPr>
        <w:pStyle w:val="null3"/>
      </w:pPr>
      <w:r>
        <w:rPr>
          <w:rFonts w:ascii="仿宋_GB2312" w:hAnsi="仿宋_GB2312" w:cs="仿宋_GB2312" w:eastAsia="仿宋_GB2312"/>
        </w:rPr>
        <w:t>8、联合体投标：不接受联合体投标，提供非联合体声明。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提供服务的；（2）项目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以中标价为基础按服务类标准下浮20%收取，投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联系人：贾工 喻工</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地址：西安市科技路30号合力紫郡A座22层2204</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是针对2026届毕业生春秋季综合类大型就业洽谈会（2场）布展服务进行招标。每场就业洽谈会拟设立约800个展位。每个展位需要帐篷，桌子，椅子及宣传品等组成（具体要求详见采购需求）。为保证现场安全，要求此类物品必须是优质产品，同时符合室外布展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440,000.00</w:t>
      </w:r>
    </w:p>
    <w:p>
      <w:pPr>
        <w:pStyle w:val="null3"/>
      </w:pPr>
      <w:r>
        <w:rPr>
          <w:rFonts w:ascii="仿宋_GB2312" w:hAnsi="仿宋_GB2312" w:cs="仿宋_GB2312" w:eastAsia="仿宋_GB2312"/>
        </w:rPr>
        <w:t>采购包最高限价（元）: 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招聘会布展服务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标的名称：招聘会布展服务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FF"/>
              </w:rPr>
              <w:t>一、项目概况</w:t>
            </w:r>
          </w:p>
          <w:p>
            <w:pPr>
              <w:pStyle w:val="null3"/>
              <w:ind w:firstLine="480"/>
            </w:pPr>
            <w:r>
              <w:rPr>
                <w:rFonts w:ascii="仿宋_GB2312" w:hAnsi="仿宋_GB2312" w:cs="仿宋_GB2312" w:eastAsia="仿宋_GB2312"/>
                <w:sz w:val="24"/>
                <w:color w:val="0000FF"/>
              </w:rPr>
              <w:t>2026届春秋季综合类大型就业洽谈会每场拟设立约800个展位，举办地点为西北大学长安校区中心广场，每个展位需要帐篷，桌子，椅子及宣传品等组成。为保证现场安全，要求此类物品必须是9成新产品，同时符合室外布展标准。</w:t>
            </w:r>
          </w:p>
          <w:tbl>
            <w:tblPr>
              <w:tblBorders>
                <w:top w:val="none" w:color="000000" w:sz="4"/>
                <w:left w:val="none" w:color="000000" w:sz="4"/>
                <w:bottom w:val="none" w:color="000000" w:sz="4"/>
                <w:right w:val="none" w:color="000000" w:sz="4"/>
                <w:insideH w:val="none"/>
                <w:insideV w:val="none"/>
              </w:tblBorders>
            </w:tblPr>
            <w:tblGrid>
              <w:gridCol w:w="189"/>
              <w:gridCol w:w="275"/>
              <w:gridCol w:w="594"/>
              <w:gridCol w:w="237"/>
              <w:gridCol w:w="205"/>
              <w:gridCol w:w="1053"/>
            </w:tblGrid>
            <w:tr>
              <w:tc>
                <w:tcPr>
                  <w:tcW w:type="dxa" w:w="255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单场招聘会布展明细</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项目</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名称</w:t>
                  </w:r>
                </w:p>
              </w:tc>
              <w:tc>
                <w:tcPr>
                  <w:tcW w:type="dxa" w:w="5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规</w:t>
                  </w: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格</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数量</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单位</w:t>
                  </w:r>
                </w:p>
              </w:tc>
              <w:tc>
                <w:tcPr>
                  <w:tcW w:type="dxa" w:w="1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备注</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帐篷</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3*3m</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400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白色</w:t>
                  </w:r>
                  <w:r>
                    <w:rPr>
                      <w:rFonts w:ascii="仿宋_GB2312" w:hAnsi="仿宋_GB2312" w:cs="仿宋_GB2312" w:eastAsia="仿宋_GB2312"/>
                      <w:sz w:val="24"/>
                      <w:color w:val="0000FF"/>
                    </w:rPr>
                    <w:t>3米x3米 帐篷,成色≥9成新</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展桌</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1.2*0.6m</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800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张</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带白色桌布桌纬</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展椅</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折叠椅</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2400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把</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白色折叠椅子</w:t>
                  </w:r>
                  <w:r>
                    <w:rPr>
                      <w:rFonts w:ascii="仿宋_GB2312" w:hAnsi="仿宋_GB2312" w:cs="仿宋_GB2312" w:eastAsia="仿宋_GB2312"/>
                      <w:sz w:val="24"/>
                      <w:color w:val="0000FF"/>
                    </w:rPr>
                    <w:t>,成色≥9成新</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门楣</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1.5*0.25m</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800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含设计，排版</w:t>
                  </w:r>
                  <w:r>
                    <w:rPr>
                      <w:rFonts w:ascii="仿宋_GB2312" w:hAnsi="仿宋_GB2312" w:cs="仿宋_GB2312" w:eastAsia="仿宋_GB2312"/>
                      <w:sz w:val="24"/>
                      <w:color w:val="0000FF"/>
                    </w:rPr>
                    <w:t>,校对,kt板制作</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海报</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1.2*0.9m</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800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含设计，排版</w:t>
                  </w:r>
                  <w:r>
                    <w:rPr>
                      <w:rFonts w:ascii="仿宋_GB2312" w:hAnsi="仿宋_GB2312" w:cs="仿宋_GB2312" w:eastAsia="仿宋_GB2312"/>
                      <w:sz w:val="24"/>
                      <w:color w:val="0000FF"/>
                    </w:rPr>
                    <w:t>,校对,kt板制作</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指示牌</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2m*0.8m</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镀锌钢管焊接定做</w:t>
                  </w:r>
                  <w:r>
                    <w:rPr>
                      <w:rFonts w:ascii="仿宋_GB2312" w:hAnsi="仿宋_GB2312" w:cs="仿宋_GB2312" w:eastAsia="仿宋_GB2312"/>
                      <w:sz w:val="24"/>
                      <w:color w:val="0000FF"/>
                    </w:rPr>
                    <w:t>,烤汽车漆,2m x 0.8m,含底座,</w:t>
                  </w:r>
                </w:p>
                <w:p>
                  <w:pPr>
                    <w:pStyle w:val="null3"/>
                    <w:jc w:val="center"/>
                  </w:pPr>
                  <w:r>
                    <w:rPr>
                      <w:rFonts w:ascii="仿宋_GB2312" w:hAnsi="仿宋_GB2312" w:cs="仿宋_GB2312" w:eastAsia="仿宋_GB2312"/>
                      <w:sz w:val="24"/>
                      <w:color w:val="0000FF"/>
                    </w:rPr>
                    <w:t>配重含双面画面</w:t>
                  </w:r>
                  <w:r>
                    <w:rPr>
                      <w:rFonts w:ascii="仿宋_GB2312" w:hAnsi="仿宋_GB2312" w:cs="仿宋_GB2312" w:eastAsia="仿宋_GB2312"/>
                      <w:sz w:val="24"/>
                      <w:color w:val="0000FF"/>
                    </w:rPr>
                    <w:t>60*80cm</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铁马</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2m</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400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铝合金铁马，成色</w:t>
                  </w:r>
                  <w:r>
                    <w:rPr>
                      <w:rFonts w:ascii="仿宋_GB2312" w:hAnsi="仿宋_GB2312" w:cs="仿宋_GB2312" w:eastAsia="仿宋_GB2312"/>
                      <w:sz w:val="24"/>
                      <w:color w:val="0000FF"/>
                    </w:rPr>
                    <w:t>≥9成新</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软隔离</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1m</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400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黑色抽拉式软隔离，成色</w:t>
                  </w:r>
                  <w:r>
                    <w:rPr>
                      <w:rFonts w:ascii="仿宋_GB2312" w:hAnsi="仿宋_GB2312" w:cs="仿宋_GB2312" w:eastAsia="仿宋_GB2312"/>
                      <w:sz w:val="24"/>
                      <w:color w:val="0000FF"/>
                    </w:rPr>
                    <w:t>≥9成新</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快展</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2*1.2m</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含设计，制作</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拉网展架</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5*3m</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含设计，制作</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手册</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210*285mm</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800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本</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封面</w:t>
                  </w:r>
                  <w:r>
                    <w:rPr>
                      <w:rFonts w:ascii="仿宋_GB2312" w:hAnsi="仿宋_GB2312" w:cs="仿宋_GB2312" w:eastAsia="仿宋_GB2312"/>
                      <w:sz w:val="24"/>
                      <w:color w:val="0000FF"/>
                    </w:rPr>
                    <w:t>≥200g特种纸，内页≥157g铜版纸</w:t>
                  </w:r>
                </w:p>
                <w:p>
                  <w:pPr>
                    <w:pStyle w:val="null3"/>
                    <w:jc w:val="center"/>
                  </w:pPr>
                  <w:r>
                    <w:rPr>
                      <w:rFonts w:ascii="仿宋_GB2312" w:hAnsi="仿宋_GB2312" w:cs="仿宋_GB2312" w:eastAsia="仿宋_GB2312"/>
                      <w:sz w:val="24"/>
                      <w:color w:val="0000FF"/>
                    </w:rPr>
                    <w:t>印刷，</w:t>
                  </w:r>
                  <w:r>
                    <w:rPr>
                      <w:rFonts w:ascii="仿宋_GB2312" w:hAnsi="仿宋_GB2312" w:cs="仿宋_GB2312" w:eastAsia="仿宋_GB2312"/>
                      <w:sz w:val="24"/>
                      <w:color w:val="0000FF"/>
                    </w:rPr>
                    <w:t>20p以内，含设计，制作</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工作证</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B4</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1200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≥200g铜版纸彩打，含设计，制作</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安检门</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通过式金属探测安检门</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防雨型安检门</w:t>
                  </w:r>
                  <w:r>
                    <w:rPr>
                      <w:rFonts w:ascii="仿宋_GB2312" w:hAnsi="仿宋_GB2312" w:cs="仿宋_GB2312" w:eastAsia="仿宋_GB2312"/>
                      <w:sz w:val="24"/>
                      <w:color w:val="0000FF"/>
                    </w:rPr>
                    <w:t>2000 mm（高）*700mm（宽）</w:t>
                  </w:r>
                </w:p>
                <w:p>
                  <w:pPr>
                    <w:pStyle w:val="null3"/>
                    <w:jc w:val="center"/>
                  </w:pPr>
                  <w:r>
                    <w:rPr>
                      <w:rFonts w:ascii="仿宋_GB2312" w:hAnsi="仿宋_GB2312" w:cs="仿宋_GB2312" w:eastAsia="仿宋_GB2312"/>
                      <w:sz w:val="24"/>
                      <w:color w:val="0000FF"/>
                    </w:rPr>
                    <w:t>工作电压：</w:t>
                  </w:r>
                  <w:r>
                    <w:rPr>
                      <w:rFonts w:ascii="仿宋_GB2312" w:hAnsi="仿宋_GB2312" w:cs="仿宋_GB2312" w:eastAsia="仿宋_GB2312"/>
                      <w:sz w:val="24"/>
                      <w:color w:val="0000FF"/>
                    </w:rPr>
                    <w:t>AC220V，50/60Hz</w:t>
                  </w:r>
                </w:p>
                <w:p>
                  <w:pPr>
                    <w:pStyle w:val="null3"/>
                    <w:jc w:val="center"/>
                  </w:pPr>
                  <w:r>
                    <w:rPr>
                      <w:rFonts w:ascii="仿宋_GB2312" w:hAnsi="仿宋_GB2312" w:cs="仿宋_GB2312" w:eastAsia="仿宋_GB2312"/>
                      <w:sz w:val="24"/>
                      <w:color w:val="0000FF"/>
                    </w:rPr>
                    <w:t>功率：</w:t>
                  </w:r>
                  <w:r>
                    <w:rPr>
                      <w:rFonts w:ascii="仿宋_GB2312" w:hAnsi="仿宋_GB2312" w:cs="仿宋_GB2312" w:eastAsia="仿宋_GB2312"/>
                      <w:sz w:val="24"/>
                      <w:color w:val="0000FF"/>
                    </w:rPr>
                    <w:t>≤35W</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备注：本清单为一场大型招聘会所需最少物料。</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FF"/>
              </w:rPr>
              <w:t>二、其他要求</w:t>
            </w:r>
          </w:p>
          <w:p>
            <w:pPr>
              <w:pStyle w:val="null3"/>
            </w:pPr>
            <w:r>
              <w:rPr>
                <w:rFonts w:ascii="仿宋_GB2312" w:hAnsi="仿宋_GB2312" w:cs="仿宋_GB2312" w:eastAsia="仿宋_GB2312"/>
                <w:sz w:val="24"/>
                <w:color w:val="0000FF"/>
              </w:rPr>
              <w:t>1.清单内物料明细均为包干价，包含但不限于服务产生的设计费、租赁费、安装调试费用、税费等所有费用，如在服务过程中所需物料增多，不增加费用。</w:t>
            </w:r>
          </w:p>
          <w:p>
            <w:pPr>
              <w:pStyle w:val="null3"/>
            </w:pPr>
            <w:r>
              <w:rPr>
                <w:rFonts w:ascii="仿宋_GB2312" w:hAnsi="仿宋_GB2312" w:cs="仿宋_GB2312" w:eastAsia="仿宋_GB2312"/>
                <w:sz w:val="24"/>
                <w:color w:val="0000FF"/>
              </w:rPr>
              <w:t>2.招聘会主背景设计及其大会延展设计需提前四个工作日内设计完成，需提前三日布展搭建，一日彩排，会后一日内撤场完毕。</w:t>
            </w:r>
          </w:p>
          <w:p>
            <w:pPr>
              <w:pStyle w:val="null3"/>
            </w:pPr>
            <w:r>
              <w:rPr>
                <w:rFonts w:ascii="仿宋_GB2312" w:hAnsi="仿宋_GB2312" w:cs="仿宋_GB2312" w:eastAsia="仿宋_GB2312"/>
                <w:sz w:val="24"/>
                <w:color w:val="0000FF"/>
              </w:rPr>
              <w:t>3.在布展搭建前要有具体的组织实施方案和服务方案，根据采购人的场地规模大小设计出相应的招聘会展位分布图，区域划分妥当，满足采购人需求，方案完善，科学合理、针对性强。</w:t>
            </w:r>
          </w:p>
          <w:p>
            <w:pPr>
              <w:pStyle w:val="null3"/>
            </w:pPr>
            <w:r>
              <w:rPr>
                <w:rFonts w:ascii="仿宋_GB2312" w:hAnsi="仿宋_GB2312" w:cs="仿宋_GB2312" w:eastAsia="仿宋_GB2312"/>
                <w:sz w:val="24"/>
                <w:color w:val="0000FF"/>
              </w:rPr>
              <w:t>4.供应商应具备足够人力、物力和技术能力以确保布展工作的顺利完成并应对处理服务过程中可能发生的突发状况。</w:t>
            </w:r>
          </w:p>
          <w:p>
            <w:pPr>
              <w:pStyle w:val="null3"/>
              <w:jc w:val="both"/>
            </w:pPr>
            <w:r>
              <w:rPr>
                <w:rFonts w:ascii="仿宋_GB2312" w:hAnsi="仿宋_GB2312" w:cs="仿宋_GB2312" w:eastAsia="仿宋_GB2312"/>
                <w:sz w:val="24"/>
                <w:color w:val="0000FF"/>
              </w:rPr>
              <w:t>5.供应商应全面履行项目实施过程中的相关安全管理职责，因供应商未尽到管理职责发生安全事故的，由供应商承担相应的法律责任。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合同签订之日起270日内，具体时间另行确定。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首次招聘会结束经甲方验收合格后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服务全部结束经甲方验收合格后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在线提交所有通过电子化交易平台实施的政府采购项目的响应文件，另外，在磋商截止时间前向代理机构递交密封、系统生成的纸质版响应文件贰份（胶装，封袋标注供应商名称和项目名称）。代理机构对递交的文件签收，由监标人查验密封情况并记录，开标后交磋商小组，作为评审的辅助资料。递交方式：现场递交，或快递邮寄。 2.供应商请仔细阅读采购文件《第一章 竞争性磋商邀请》第六条“电子化采购相关事项”，提前做好线上开标准备。 3.本项目磋商在采购系统线上进行，供应商需自行了解系统磋商的要求和操作流程。未按流程操作或无法联系以及供应商自身原因错过磋商的视为自动放弃磋商，其投标无效。 4.中小企业： ①是否属于中小企业，供应商按《统计上大中小微型企业划分办法（2017）》（国统字﹝2017﹞213号）租赁和商务服务业划型标准判定，并承担责任。如判定原则与第四章及附件格式不一致的，以此为准。②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将不视为中小企业。 5.补充说明： ①本项目磋商一次，磋商后供应商根据磋商内容在规定时间通过交易系统递交磋商响应函，逾期未递交的视为自动放弃竞争，磋商保证金退还。②本项目采用两轮报价，响应文件中的报价为首次报价，磋商后的报价为最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注册证照</w:t>
            </w:r>
          </w:p>
        </w:tc>
        <w:tc>
          <w:tcPr>
            <w:tcW w:type="dxa" w:w="3322"/>
          </w:tcPr>
          <w:p>
            <w:pPr>
              <w:pStyle w:val="null3"/>
            </w:pPr>
            <w:r>
              <w:rPr>
                <w:rFonts w:ascii="仿宋_GB2312" w:hAnsi="仿宋_GB2312" w:cs="仿宋_GB2312" w:eastAsia="仿宋_GB2312"/>
              </w:rPr>
              <w:t>法人企业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tc>
        <w:tc>
          <w:tcPr>
            <w:tcW w:type="dxa" w:w="1661"/>
          </w:tcPr>
          <w:p>
            <w:pPr>
              <w:pStyle w:val="null3"/>
            </w:pPr>
            <w:r>
              <w:rPr>
                <w:rFonts w:ascii="仿宋_GB2312" w:hAnsi="仿宋_GB2312" w:cs="仿宋_GB2312" w:eastAsia="仿宋_GB2312"/>
              </w:rPr>
              <w:t>注册证照.docx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供应商代表授权</w:t>
            </w:r>
          </w:p>
        </w:tc>
        <w:tc>
          <w:tcPr>
            <w:tcW w:type="dxa" w:w="3322"/>
          </w:tcPr>
          <w:p>
            <w:pPr>
              <w:pStyle w:val="null3"/>
            </w:pPr>
            <w:r>
              <w:rPr>
                <w:rFonts w:ascii="仿宋_GB2312" w:hAnsi="仿宋_GB2312" w:cs="仿宋_GB2312" w:eastAsia="仿宋_GB2312"/>
              </w:rPr>
              <w:t>提供法定代表人证明书及代表人授权委托书</w:t>
            </w:r>
          </w:p>
        </w:tc>
        <w:tc>
          <w:tcPr>
            <w:tcW w:type="dxa" w:w="1661"/>
          </w:tcPr>
          <w:p>
            <w:pPr>
              <w:pStyle w:val="null3"/>
            </w:pPr>
            <w:r>
              <w:rPr>
                <w:rFonts w:ascii="仿宋_GB2312" w:hAnsi="仿宋_GB2312" w:cs="仿宋_GB2312" w:eastAsia="仿宋_GB2312"/>
              </w:rPr>
              <w:t>法定代表人证明书.docx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履约能力声明.docx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或2024年度经第三方会计事务所审计过的财务报告，或磋商截止时间前6个月内基本账户银行出具的资信证明。注：①提供财务报告的，内容至少包括：审计报告、附注。②提供资信证明的，必须提供资信证明全部页以及基本户信息（提供开户许可证或提供基本银行账户信息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2025年1月1日至今至少一个月依法纳税的证明（税种须至少包含增值税或企业所得税的一种），依法免税的应提供相关证明；成立不足一个月的提供将依法纳税的承诺书。注：①新成立企业（成立一个月内）暂无纳税的提供说明加盖公章。②零报税的提供申报成功的凭证。③时间以税款所属时段为准。</w:t>
            </w:r>
          </w:p>
        </w:tc>
        <w:tc>
          <w:tcPr>
            <w:tcW w:type="dxa" w:w="1661"/>
          </w:tcPr>
          <w:p>
            <w:pPr>
              <w:pStyle w:val="null3"/>
            </w:pPr>
            <w:r>
              <w:rPr>
                <w:rFonts w:ascii="仿宋_GB2312" w:hAnsi="仿宋_GB2312" w:cs="仿宋_GB2312" w:eastAsia="仿宋_GB2312"/>
              </w:rPr>
              <w:t>纳税证明.docx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不接受联合体投标，提供非联合体声明。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供应商应按格式填写单位名称，至少以下文件的名称须和营业执照、公章一致：1.响应文件封面。2.响应函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首次报价</w:t>
            </w:r>
          </w:p>
        </w:tc>
        <w:tc>
          <w:tcPr>
            <w:tcW w:type="dxa" w:w="3322"/>
          </w:tcPr>
          <w:p>
            <w:pPr>
              <w:pStyle w:val="null3"/>
            </w:pPr>
            <w:r>
              <w:rPr>
                <w:rFonts w:ascii="仿宋_GB2312" w:hAnsi="仿宋_GB2312" w:cs="仿宋_GB2312" w:eastAsia="仿宋_GB2312"/>
              </w:rPr>
              <w:t>未超过采购预算且无选择性报价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合同签订之日起270日内，具体时间另行确定。</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主要商务要求响应</w:t>
            </w:r>
          </w:p>
        </w:tc>
        <w:tc>
          <w:tcPr>
            <w:tcW w:type="dxa" w:w="3322"/>
          </w:tcPr>
          <w:p>
            <w:pPr>
              <w:pStyle w:val="null3"/>
            </w:pPr>
            <w:r>
              <w:rPr>
                <w:rFonts w:ascii="仿宋_GB2312" w:hAnsi="仿宋_GB2312" w:cs="仿宋_GB2312" w:eastAsia="仿宋_GB2312"/>
              </w:rPr>
              <w:t>首次招聘会结束经甲方验收合格后30日内，支付合同总金额的50%；服务全部结束经甲方验收合格后30日内，支付合同总金额的50%。</w:t>
            </w:r>
          </w:p>
        </w:tc>
        <w:tc>
          <w:tcPr>
            <w:tcW w:type="dxa" w:w="1661"/>
          </w:tcPr>
          <w:p>
            <w:pPr>
              <w:pStyle w:val="null3"/>
            </w:pPr>
            <w:r>
              <w:rPr>
                <w:rFonts w:ascii="仿宋_GB2312" w:hAnsi="仿宋_GB2312" w:cs="仿宋_GB2312" w:eastAsia="仿宋_GB2312"/>
              </w:rPr>
              <w:t>主要商务条款响应偏离表.docx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供应商应提供针对本项目的整体服务方案。包括①服务内容②服务标准③总体设计思路④进度计划⑤应急预案 二、评审标准 1.完整性：内容全面，对评审内容中的各项要求描述详细； 2.可实施性：切合本项目实际情况，实施步骤清晰、合理； 3.针对性：能够紧扣项目实际情况，内容科学合理。 三、赋分依据（满分15分） ①服务内容：每完全满足一个评审标准得1分，满分3分；未提供不得分； ②服务标准：每完全满足一个评审标准得1分，满分3分；未提供不得分； ③总体设计思路：每完全满足一个评审标准得1分，满分3分；未提供不得分； ④进度计划：每完全满足一个评审标准得1分，满分3分；未提供不得分； ⑤应急预案：每完全满足一个评审标准得1分，满分3分；未提供不得分。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物料采购/租用方案</w:t>
            </w:r>
          </w:p>
        </w:tc>
        <w:tc>
          <w:tcPr>
            <w:tcW w:type="dxa" w:w="2492"/>
          </w:tcPr>
          <w:p>
            <w:pPr>
              <w:pStyle w:val="null3"/>
            </w:pPr>
            <w:r>
              <w:rPr>
                <w:rFonts w:ascii="仿宋_GB2312" w:hAnsi="仿宋_GB2312" w:cs="仿宋_GB2312" w:eastAsia="仿宋_GB2312"/>
              </w:rPr>
              <w:t>供应商需提供布展所需物料采购/租用方案。 1.物料清单完整，详细，能满足招聘会布展需要。计1分。 2.来源渠道清晰可靠，能保证本项目物料的质量和供应计1分。 3.提供所有布展物料至少为9成新的书面承诺，得1分。注：承诺书格式自拟，未提供承诺不得分。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物料采购租用方案.docx</w:t>
            </w:r>
          </w:p>
        </w:tc>
      </w:tr>
      <w:tr>
        <w:tc>
          <w:tcPr>
            <w:tcW w:type="dxa" w:w="831"/>
            <w:vMerge/>
          </w:tcPr>
          <w:p/>
        </w:tc>
        <w:tc>
          <w:tcPr>
            <w:tcW w:type="dxa" w:w="1661"/>
          </w:tcPr>
          <w:p>
            <w:pPr>
              <w:pStyle w:val="null3"/>
            </w:pPr>
            <w:r>
              <w:rPr>
                <w:rFonts w:ascii="仿宋_GB2312" w:hAnsi="仿宋_GB2312" w:cs="仿宋_GB2312" w:eastAsia="仿宋_GB2312"/>
              </w:rPr>
              <w:t>初步设计方案</w:t>
            </w:r>
          </w:p>
        </w:tc>
        <w:tc>
          <w:tcPr>
            <w:tcW w:type="dxa" w:w="2492"/>
          </w:tcPr>
          <w:p>
            <w:pPr>
              <w:pStyle w:val="null3"/>
            </w:pPr>
            <w:r>
              <w:rPr>
                <w:rFonts w:ascii="仿宋_GB2312" w:hAnsi="仿宋_GB2312" w:cs="仿宋_GB2312" w:eastAsia="仿宋_GB2312"/>
              </w:rPr>
              <w:t>一、评审内容 供应商应提供针对本项目的初步设计方案（需提供设计图纸及设计方案说明），包括①展位分布设计及单个展位效果图②招聘会主背景设计③大会延展设计 二、评审标准 1.完整性：内容全面，对评审内容中的各项要求描述详细； 2.可实施性：切合本项目实际情况，实施步骤清晰、合理； 3.针对性：能够紧扣项目实际情况，内容科学合理。 三、赋分依据（满分9分） ①展位分布设计及单个展位效果图：每完全满足一个评审标准得1分，满分3分；未提供不得分； ②招聘会主背景设计：每完全满足一个评审标准得1分，满分3分；未提供不得分； ③大会延展设计：每完全满足一个评审标准得1分，满分3分；未提供不得分。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初步设计方案.docx</w:t>
            </w:r>
          </w:p>
        </w:tc>
      </w:tr>
      <w:tr>
        <w:tc>
          <w:tcPr>
            <w:tcW w:type="dxa" w:w="831"/>
            <w:vMerge/>
          </w:tcPr>
          <w:p/>
        </w:tc>
        <w:tc>
          <w:tcPr>
            <w:tcW w:type="dxa" w:w="1661"/>
          </w:tcPr>
          <w:p>
            <w:pPr>
              <w:pStyle w:val="null3"/>
            </w:pPr>
            <w:r>
              <w:rPr>
                <w:rFonts w:ascii="仿宋_GB2312" w:hAnsi="仿宋_GB2312" w:cs="仿宋_GB2312" w:eastAsia="仿宋_GB2312"/>
              </w:rPr>
              <w:t>会场搭建布置方案</w:t>
            </w:r>
          </w:p>
        </w:tc>
        <w:tc>
          <w:tcPr>
            <w:tcW w:type="dxa" w:w="2492"/>
          </w:tcPr>
          <w:p>
            <w:pPr>
              <w:pStyle w:val="null3"/>
            </w:pPr>
            <w:r>
              <w:rPr>
                <w:rFonts w:ascii="仿宋_GB2312" w:hAnsi="仿宋_GB2312" w:cs="仿宋_GB2312" w:eastAsia="仿宋_GB2312"/>
              </w:rPr>
              <w:t>一、评审内容 供应商应提供针对本项目的会场搭建布置方案。包括①搭建布置流程及方法②人员投入③安全保障措施④质量保证措施 二、评审标准 1.完整性：内容全面，对评审内容中的各项要求描述详细； 2.可实施性：切合本项目实际情况，实施步骤清晰、合理； 3.针对性：能够紧扣项目实际情况，内容科学合理。 三、赋分依据（满分12分） ①搭建布置流程及方法：每完全满足一个评审标准得1分，满分3分；未提供不得分； ②人员投入：每完全满足一个评审标准得1分，满分3分；未提供不得分； ③安全保障措施：每完全满足一个评审标准得1分，满分3分；未提供不得分； ④质量保证措施：每完全满足一个评审标准得1分，满分3分；未提供不得分；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会场搭建布置方案.docx</w:t>
            </w:r>
          </w:p>
        </w:tc>
      </w:tr>
      <w:tr>
        <w:tc>
          <w:tcPr>
            <w:tcW w:type="dxa" w:w="831"/>
            <w:vMerge/>
          </w:tcPr>
          <w:p/>
        </w:tc>
        <w:tc>
          <w:tcPr>
            <w:tcW w:type="dxa" w:w="1661"/>
          </w:tcPr>
          <w:p>
            <w:pPr>
              <w:pStyle w:val="null3"/>
            </w:pPr>
            <w:r>
              <w:rPr>
                <w:rFonts w:ascii="仿宋_GB2312" w:hAnsi="仿宋_GB2312" w:cs="仿宋_GB2312" w:eastAsia="仿宋_GB2312"/>
              </w:rPr>
              <w:t>撤场方案</w:t>
            </w:r>
          </w:p>
        </w:tc>
        <w:tc>
          <w:tcPr>
            <w:tcW w:type="dxa" w:w="2492"/>
          </w:tcPr>
          <w:p>
            <w:pPr>
              <w:pStyle w:val="null3"/>
            </w:pPr>
            <w:r>
              <w:rPr>
                <w:rFonts w:ascii="仿宋_GB2312" w:hAnsi="仿宋_GB2312" w:cs="仿宋_GB2312" w:eastAsia="仿宋_GB2312"/>
              </w:rPr>
              <w:t>一、评审内容 供应商应提供针对本项目的撤场方案。包括①会场拆除清运②人员投入③撤场时效 二、评审标准 1.完整性：内容全面，对评审内容中的各项要求描述详细； 2.可实施性：切合本项目实际情况，实施步骤清晰、合理； 3.针对性：能够紧扣项目实际情况，内容科学合理。 三、赋分依据（满分9分） ①会场拆除清运：每完全满足一个评审标准得1分，满分3分；未提供不得分； ②人员投入：每完全满足一个评审标准得1分，满分3分；未提供不得分； ③撤场时效：每完全满足一个评审标准得1分，满分3分；未提供不得分。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撤场方案.docx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一、评审内容 供应商应提供针对本项目的团队人员投入方案。包括①团队架构说明②人员责任分工。（注：需提供团队人员名单、身份证及供应商近6个月内任意一个月为其缴纳社保的证明。） 二、评审标准 1.完整性：内容全面，对评审内容中的各项要求描述详细； 2.可实施性：切合本项目实际情况，实施步骤清晰、合理； 3.针对性：能够紧扣项目实际情况，内容科学合理。 三、赋分依据（满分6分） ①团队架构说明：每完全满足一个评审标准得1分，满分3分；未提供不得分； ②人员责任分工：每完全满足一个评审标准得1分，满分3分；未提供不得分；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团队人员.docx</w:t>
            </w:r>
          </w:p>
        </w:tc>
      </w:tr>
      <w:tr>
        <w:tc>
          <w:tcPr>
            <w:tcW w:type="dxa" w:w="831"/>
            <w:vMerge/>
          </w:tcPr>
          <w:p/>
        </w:tc>
        <w:tc>
          <w:tcPr>
            <w:tcW w:type="dxa" w:w="1661"/>
          </w:tcPr>
          <w:p>
            <w:pPr>
              <w:pStyle w:val="null3"/>
            </w:pPr>
            <w:r>
              <w:rPr>
                <w:rFonts w:ascii="仿宋_GB2312" w:hAnsi="仿宋_GB2312" w:cs="仿宋_GB2312" w:eastAsia="仿宋_GB2312"/>
              </w:rPr>
              <w:t>会场保障方案</w:t>
            </w:r>
          </w:p>
        </w:tc>
        <w:tc>
          <w:tcPr>
            <w:tcW w:type="dxa" w:w="2492"/>
          </w:tcPr>
          <w:p>
            <w:pPr>
              <w:pStyle w:val="null3"/>
            </w:pPr>
            <w:r>
              <w:rPr>
                <w:rFonts w:ascii="仿宋_GB2312" w:hAnsi="仿宋_GB2312" w:cs="仿宋_GB2312" w:eastAsia="仿宋_GB2312"/>
              </w:rPr>
              <w:t>一、评审内容 供应商应提供针对本项目的会场保障方案。包括①保障内容②保障服务措施 二、评审标准 1.完整性：内容全面，对评审内容中的各项要求描述详细； 2.可实施性：切合本项目实际情况，实施步骤清晰、合理； 3.针对性：能够紧扣项目实际情况，内容科学合理。 三、赋分依据（满分6分） ①保障内容：每完全满足一个评审标准得1分，满分3分；未提供不得分； ②保障服务措施：每完全满足一个评审标准得1分，满分3分；未提供不得分。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会场保障方案.docx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供应商提供2022年6月1日至今类似项目（高校群体活动、展会场地布置、搭建类）业绩，每提供1个得2分，本项最高得10分。（业绩以合同为准，时间以合同签订时间为准、须提供完整合同复印件并加盖公章）。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价格分采用低价优先法，即实质性满足磋商文件要求且最终磋商报价最低的为磋商基准价，其价格分为满分（30分）。其他供应商的价格分按照下列公式计算：磋商报价得分=(磋商基准价/磋商报价)×30。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详见附件：履约能力声明.docx</w:t>
      </w:r>
    </w:p>
    <w:p>
      <w:pPr>
        <w:pStyle w:val="null3"/>
        <w:ind w:firstLine="960"/>
      </w:pPr>
      <w:r>
        <w:rPr>
          <w:rFonts w:ascii="仿宋_GB2312" w:hAnsi="仿宋_GB2312" w:cs="仿宋_GB2312" w:eastAsia="仿宋_GB2312"/>
        </w:rPr>
        <w:t>详见附件：纳税证明.docx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详见附件：注册证照.docx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详见附件：撤场方案.docx</w:t>
      </w:r>
    </w:p>
    <w:p>
      <w:pPr>
        <w:pStyle w:val="null3"/>
        <w:ind w:firstLine="960"/>
      </w:pPr>
      <w:r>
        <w:rPr>
          <w:rFonts w:ascii="仿宋_GB2312" w:hAnsi="仿宋_GB2312" w:cs="仿宋_GB2312" w:eastAsia="仿宋_GB2312"/>
        </w:rPr>
        <w:t>详见附件：初步设计方案.docx</w:t>
      </w:r>
    </w:p>
    <w:p>
      <w:pPr>
        <w:pStyle w:val="null3"/>
        <w:ind w:firstLine="960"/>
      </w:pPr>
      <w:r>
        <w:rPr>
          <w:rFonts w:ascii="仿宋_GB2312" w:hAnsi="仿宋_GB2312" w:cs="仿宋_GB2312" w:eastAsia="仿宋_GB2312"/>
        </w:rPr>
        <w:t>详见附件：会场保障方案.docx</w:t>
      </w:r>
    </w:p>
    <w:p>
      <w:pPr>
        <w:pStyle w:val="null3"/>
        <w:ind w:firstLine="960"/>
      </w:pPr>
      <w:r>
        <w:rPr>
          <w:rFonts w:ascii="仿宋_GB2312" w:hAnsi="仿宋_GB2312" w:cs="仿宋_GB2312" w:eastAsia="仿宋_GB2312"/>
        </w:rPr>
        <w:t>详见附件：会场搭建布置方案.docx</w:t>
      </w:r>
    </w:p>
    <w:p>
      <w:pPr>
        <w:pStyle w:val="null3"/>
        <w:ind w:firstLine="960"/>
      </w:pPr>
      <w:r>
        <w:rPr>
          <w:rFonts w:ascii="仿宋_GB2312" w:hAnsi="仿宋_GB2312" w:cs="仿宋_GB2312" w:eastAsia="仿宋_GB2312"/>
        </w:rPr>
        <w:t>详见附件：团队人员.docx</w:t>
      </w:r>
    </w:p>
    <w:p>
      <w:pPr>
        <w:pStyle w:val="null3"/>
        <w:ind w:firstLine="960"/>
      </w:pPr>
      <w:r>
        <w:rPr>
          <w:rFonts w:ascii="仿宋_GB2312" w:hAnsi="仿宋_GB2312" w:cs="仿宋_GB2312" w:eastAsia="仿宋_GB2312"/>
        </w:rPr>
        <w:t>详见附件：物料采购租用方案.docx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详见附件：整体服务方案.docx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