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版本号：SZT2025-SN-SC-ZC-GC-0612.20250627002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南北校区学生公寓粉刷维修项目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SZT2025-SN-SC-ZC-GC-0612.</w:t>
      </w:r>
      <w:r>
        <w:br/>
      </w:r>
      <w:r>
        <w:br/>
      </w:r>
      <w:r>
        <w:br/>
      </w:r>
    </w:p>
    <w:p>
      <w:pPr>
        <w:pStyle w:val="null3"/>
        <w:jc w:val="center"/>
        <w:outlineLvl w:val="2"/>
      </w:pPr>
      <w:r>
        <w:rPr>
          <w:rFonts w:ascii="仿宋_GB2312" w:hAnsi="仿宋_GB2312" w:cs="仿宋_GB2312" w:eastAsia="仿宋_GB2312"/>
          <w:sz w:val="28"/>
          <w:b/>
        </w:rPr>
        <w:t>陕西理工大学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南北校区学生公寓粉刷维修项目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南北校区学生公寓粉刷维修项目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南北校区500余间学生宿舍进行全部或局部粉刷维修，木门窗维修及翻新。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采购包1（南区学生公寓）：属于专门面向中小企业采购。</w:t>
      </w:r>
    </w:p>
    <w:p>
      <w:pPr>
        <w:pStyle w:val="null3"/>
      </w:pPr>
      <w:r>
        <w:rPr>
          <w:rFonts w:ascii="仿宋_GB2312" w:hAnsi="仿宋_GB2312" w:cs="仿宋_GB2312" w:eastAsia="仿宋_GB2312"/>
        </w:rPr>
        <w:t>采购包2（南区3号楼、北区甲1、2楼等学生公寓粉刷维修）：属于专门面向中小企业采购。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1、拟派项目负责人资质和专业要求：项目经理需具备建筑工程专业二级或以上注册建造师证书和安全生产考核合格证（B证），且无在建工程项目（提供承诺函）</w:t>
      </w:r>
    </w:p>
    <w:p>
      <w:pPr>
        <w:pStyle w:val="null3"/>
      </w:pPr>
      <w:r>
        <w:rPr>
          <w:rFonts w:ascii="仿宋_GB2312" w:hAnsi="仿宋_GB2312" w:cs="仿宋_GB2312" w:eastAsia="仿宋_GB2312"/>
        </w:rPr>
        <w:t>2、法定代表人授权委托书：供应商应授权合法的人员参加磋商，其中法定代表人直接参加的，须提供法定代表人身份证，并与营业执照上信息一致。法定代表人授权代表参加的，须提供法定代表人授权书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3、建筑工程施工总承包三级及以上资质或建筑装修装饰工程专业承包二级及以上资质：供应商具备建筑工程施工总承包三级及以上资质或建筑装修装饰工程专业承包二级及以上资质和有效的安全生产许可证；（不接受批准件）</w:t>
      </w:r>
    </w:p>
    <w:p>
      <w:pPr>
        <w:pStyle w:val="null3"/>
      </w:pPr>
      <w:r>
        <w:rPr>
          <w:rFonts w:ascii="仿宋_GB2312" w:hAnsi="仿宋_GB2312" w:cs="仿宋_GB2312" w:eastAsia="仿宋_GB2312"/>
        </w:rPr>
        <w:t>4、供应商及项目经理信息在“陕西省住房和城乡建设厅系统平台”或“陕西省建筑市场监管与诚信信息发布平台”备案可查询，提供查询截图：供应商及项目经理信息在“陕西省住房和城乡建设厅系统平台”或“陕西省建筑市场监管与诚信信息发布平台”备案可查询，提供查询截图</w:t>
      </w:r>
    </w:p>
    <w:p>
      <w:pPr>
        <w:pStyle w:val="null3"/>
      </w:pPr>
      <w:r>
        <w:rPr>
          <w:rFonts w:ascii="仿宋_GB2312" w:hAnsi="仿宋_GB2312" w:cs="仿宋_GB2312" w:eastAsia="仿宋_GB2312"/>
        </w:rPr>
        <w:t>5、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1、拟派项目负责人资质和专业要求：项目经理需具备建筑工程专业二级或以上注册建造师证书和安全生产考核合格证（B证），且无在建工程项目（提供承诺函）</w:t>
      </w:r>
    </w:p>
    <w:p>
      <w:pPr>
        <w:pStyle w:val="null3"/>
      </w:pPr>
      <w:r>
        <w:rPr>
          <w:rFonts w:ascii="仿宋_GB2312" w:hAnsi="仿宋_GB2312" w:cs="仿宋_GB2312" w:eastAsia="仿宋_GB2312"/>
        </w:rPr>
        <w:t>2、法定代表人授权委托书：供应商应授权合法的人员参加投标，其中法定代表人直接参加的，须提供法定代表人身份证，并与营业执照上信息一致。法定代表人授权代表参加的，须提供法定代表人授权书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3、建筑工程施工总承包三级及以上资质或建筑装修装饰工程专业承包二级及以上资质：供应商具备建筑工程施工总承包三级及以上资质或建筑装修装饰工程专业承包二级及以上资质和有效的安全生产许可证；（不接受批准件）</w:t>
      </w:r>
    </w:p>
    <w:p>
      <w:pPr>
        <w:pStyle w:val="null3"/>
      </w:pPr>
      <w:r>
        <w:rPr>
          <w:rFonts w:ascii="仿宋_GB2312" w:hAnsi="仿宋_GB2312" w:cs="仿宋_GB2312" w:eastAsia="仿宋_GB2312"/>
        </w:rPr>
        <w:t>4、供应商及项目经理信息在“陕西省住房和城乡建设厅系统平台”或“陕西省建筑市场监管与诚信信息发布平台”备案可查询，提供查询截图：供应商及项目经理信息在“陕西省住房和城乡建设厅系统平台”或“陕西省建筑市场监管与诚信信息发布平台”备案可查询，提供查询截图</w:t>
      </w:r>
    </w:p>
    <w:p>
      <w:pPr>
        <w:pStyle w:val="null3"/>
      </w:pPr>
      <w:r>
        <w:rPr>
          <w:rFonts w:ascii="仿宋_GB2312" w:hAnsi="仿宋_GB2312" w:cs="仿宋_GB2312" w:eastAsia="仿宋_GB2312"/>
        </w:rPr>
        <w:t>5、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采购包1：622,509.96元</w:t>
            </w:r>
          </w:p>
          <w:p>
            <w:pPr>
              <w:pStyle w:val="null3"/>
            </w:pPr>
            <w:r>
              <w:rPr>
                <w:rFonts w:ascii="仿宋_GB2312" w:hAnsi="仿宋_GB2312" w:cs="仿宋_GB2312" w:eastAsia="仿宋_GB2312"/>
              </w:rPr>
              <w:t>采购包2：376,114.01元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采购包2保证金金额：7,500.00元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说明：成交供应商在与采购人签订合同前，须缴纳约保证金;履约保证金金额为成交金额的3%。待验收合格后，履约保证金予转为质保金，质保期满后无质量服务问题予以退还(无息)。</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说明：成交供应商在与采购人签订合同前，须缴纳约保证金;履约保证金金额为成交金额的3%。待验收合格后，履约保证金予转为质保金，质保期满后无质量服务问题予以退还(无息)。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工程类收费标准，30万-100万(含)项目，代理费按《招标代理服务收费暂行办法》(计价格〔2002〕1980号)的80%计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合同文本，磋商文件，响应文件，国内相应的标准、规范等。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合同文本，磋商文件，响应文件，国内相应的标准、规范等。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622,509.96</w:t>
      </w:r>
    </w:p>
    <w:p>
      <w:pPr>
        <w:pStyle w:val="null3"/>
      </w:pPr>
      <w:r>
        <w:rPr>
          <w:rFonts w:ascii="仿宋_GB2312" w:hAnsi="仿宋_GB2312" w:cs="仿宋_GB2312" w:eastAsia="仿宋_GB2312"/>
        </w:rPr>
        <w:t>采购包最高限价（元）: 622,509.96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学生公寓粉刷维修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622,509.96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376,114.01</w:t>
      </w:r>
    </w:p>
    <w:p>
      <w:pPr>
        <w:pStyle w:val="null3"/>
      </w:pPr>
      <w:r>
        <w:rPr>
          <w:rFonts w:ascii="仿宋_GB2312" w:hAnsi="仿宋_GB2312" w:cs="仿宋_GB2312" w:eastAsia="仿宋_GB2312"/>
        </w:rPr>
        <w:t>采购包最高限价（元）: 376,114.01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学生公寓粉刷维修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376,114.01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标的名称：学生公寓粉刷维修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150"/>
              <w:jc w:val="both"/>
            </w:pPr>
            <w:r>
              <w:rPr>
                <w:rFonts w:ascii="仿宋_GB2312" w:hAnsi="仿宋_GB2312" w:cs="仿宋_GB2312" w:eastAsia="仿宋_GB2312"/>
                <w:sz w:val="21"/>
                <w:b/>
                <w:color w:val="000000"/>
              </w:rPr>
              <w:t>工程概况</w:t>
            </w:r>
          </w:p>
          <w:p>
            <w:pPr>
              <w:pStyle w:val="null3"/>
              <w:spacing w:before="150"/>
              <w:ind w:firstLine="560"/>
              <w:jc w:val="both"/>
            </w:pPr>
            <w:r>
              <w:rPr>
                <w:rFonts w:ascii="仿宋_GB2312" w:hAnsi="仿宋_GB2312" w:cs="仿宋_GB2312" w:eastAsia="仿宋_GB2312"/>
                <w:sz w:val="21"/>
              </w:rPr>
              <w:t>南北校区学生公寓粉刷维修</w:t>
            </w:r>
            <w:r>
              <w:rPr>
                <w:rFonts w:ascii="仿宋_GB2312" w:hAnsi="仿宋_GB2312" w:cs="仿宋_GB2312" w:eastAsia="仿宋_GB2312"/>
                <w:sz w:val="21"/>
              </w:rPr>
              <w:t>01包该项目主要内容为</w:t>
            </w:r>
            <w:r>
              <w:rPr>
                <w:rFonts w:ascii="仿宋_GB2312" w:hAnsi="仿宋_GB2312" w:cs="仿宋_GB2312" w:eastAsia="仿宋_GB2312"/>
                <w:sz w:val="21"/>
              </w:rPr>
              <w:t>南区</w:t>
            </w:r>
            <w:r>
              <w:rPr>
                <w:rFonts w:ascii="仿宋_GB2312" w:hAnsi="仿宋_GB2312" w:cs="仿宋_GB2312" w:eastAsia="仿宋_GB2312"/>
                <w:sz w:val="21"/>
              </w:rPr>
              <w:t>2#、4#、5#、6#、7#、8#、9#、10#、12#、13A#、13B#</w:t>
            </w:r>
            <w:r>
              <w:rPr>
                <w:rFonts w:ascii="仿宋_GB2312" w:hAnsi="仿宋_GB2312" w:cs="仿宋_GB2312" w:eastAsia="仿宋_GB2312"/>
                <w:sz w:val="21"/>
              </w:rPr>
              <w:t>学生公寓</w:t>
            </w:r>
            <w:r>
              <w:rPr>
                <w:rFonts w:ascii="仿宋_GB2312" w:hAnsi="仿宋_GB2312" w:cs="仿宋_GB2312" w:eastAsia="仿宋_GB2312"/>
                <w:sz w:val="21"/>
              </w:rPr>
              <w:t>墙面、天棚铲除、</w:t>
            </w:r>
            <w:r>
              <w:rPr>
                <w:rFonts w:ascii="仿宋_GB2312" w:hAnsi="仿宋_GB2312" w:cs="仿宋_GB2312" w:eastAsia="仿宋_GB2312"/>
                <w:sz w:val="21"/>
              </w:rPr>
              <w:t>粉刷</w:t>
            </w:r>
            <w:r>
              <w:rPr>
                <w:rFonts w:ascii="仿宋_GB2312" w:hAnsi="仿宋_GB2312" w:cs="仿宋_GB2312" w:eastAsia="仿宋_GB2312"/>
                <w:sz w:val="21"/>
              </w:rPr>
              <w:t>乳胶漆。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标的名称：学生公寓粉刷维修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150"/>
              <w:jc w:val="both"/>
            </w:pPr>
            <w:r>
              <w:rPr>
                <w:rFonts w:ascii="仿宋_GB2312" w:hAnsi="仿宋_GB2312" w:cs="仿宋_GB2312" w:eastAsia="仿宋_GB2312"/>
                <w:sz w:val="21"/>
                <w:b/>
                <w:color w:val="000000"/>
              </w:rPr>
              <w:t>工程概况</w:t>
            </w:r>
          </w:p>
          <w:p>
            <w:pPr>
              <w:pStyle w:val="null3"/>
              <w:spacing w:before="150"/>
              <w:ind w:firstLine="560"/>
              <w:jc w:val="both"/>
            </w:pPr>
            <w:r>
              <w:rPr>
                <w:rFonts w:ascii="仿宋_GB2312" w:hAnsi="仿宋_GB2312" w:cs="仿宋_GB2312" w:eastAsia="仿宋_GB2312"/>
                <w:sz w:val="21"/>
              </w:rPr>
              <w:t>南北校区学生公寓粉刷维修</w:t>
            </w:r>
            <w:r>
              <w:rPr>
                <w:rFonts w:ascii="仿宋_GB2312" w:hAnsi="仿宋_GB2312" w:cs="仿宋_GB2312" w:eastAsia="仿宋_GB2312"/>
                <w:sz w:val="21"/>
              </w:rPr>
              <w:t>02包</w:t>
            </w:r>
            <w:r>
              <w:rPr>
                <w:rFonts w:ascii="仿宋_GB2312" w:hAnsi="仿宋_GB2312" w:cs="仿宋_GB2312" w:eastAsia="仿宋_GB2312"/>
                <w:sz w:val="21"/>
              </w:rPr>
              <w:t>，</w:t>
            </w:r>
            <w:r>
              <w:rPr>
                <w:rFonts w:ascii="仿宋_GB2312" w:hAnsi="仿宋_GB2312" w:cs="仿宋_GB2312" w:eastAsia="仿宋_GB2312"/>
                <w:sz w:val="21"/>
              </w:rPr>
              <w:t>该项目主要内容为</w:t>
            </w:r>
            <w:r>
              <w:rPr>
                <w:rFonts w:ascii="仿宋_GB2312" w:hAnsi="仿宋_GB2312" w:cs="仿宋_GB2312" w:eastAsia="仿宋_GB2312"/>
                <w:sz w:val="21"/>
              </w:rPr>
              <w:t>改造</w:t>
            </w:r>
            <w:r>
              <w:rPr>
                <w:rFonts w:ascii="仿宋_GB2312" w:hAnsi="仿宋_GB2312" w:cs="仿宋_GB2312" w:eastAsia="仿宋_GB2312"/>
                <w:sz w:val="21"/>
              </w:rPr>
              <w:t>南区</w:t>
            </w:r>
            <w:r>
              <w:rPr>
                <w:rFonts w:ascii="仿宋_GB2312" w:hAnsi="仿宋_GB2312" w:cs="仿宋_GB2312" w:eastAsia="仿宋_GB2312"/>
                <w:sz w:val="21"/>
              </w:rPr>
              <w:t>3号楼、北区</w:t>
            </w:r>
            <w:r>
              <w:rPr>
                <w:rFonts w:ascii="仿宋_GB2312" w:hAnsi="仿宋_GB2312" w:cs="仿宋_GB2312" w:eastAsia="仿宋_GB2312"/>
                <w:sz w:val="21"/>
              </w:rPr>
              <w:t>甲</w:t>
            </w:r>
            <w:r>
              <w:rPr>
                <w:rFonts w:ascii="仿宋_GB2312" w:hAnsi="仿宋_GB2312" w:cs="仿宋_GB2312" w:eastAsia="仿宋_GB2312"/>
                <w:sz w:val="21"/>
              </w:rPr>
              <w:t>1、2楼、乙型楼、2#、3#、4#、5#、6#、7#、8#、9#、10#、15#、16#、501#</w:t>
            </w:r>
            <w:r>
              <w:rPr>
                <w:rFonts w:ascii="仿宋_GB2312" w:hAnsi="仿宋_GB2312" w:cs="仿宋_GB2312" w:eastAsia="仿宋_GB2312"/>
                <w:sz w:val="21"/>
              </w:rPr>
              <w:t>学生公寓</w:t>
            </w:r>
            <w:r>
              <w:rPr>
                <w:rFonts w:ascii="仿宋_GB2312" w:hAnsi="仿宋_GB2312" w:cs="仿宋_GB2312" w:eastAsia="仿宋_GB2312"/>
                <w:sz w:val="21"/>
              </w:rPr>
              <w:t>墙面、天棚铲除、</w:t>
            </w:r>
            <w:r>
              <w:rPr>
                <w:rFonts w:ascii="仿宋_GB2312" w:hAnsi="仿宋_GB2312" w:cs="仿宋_GB2312" w:eastAsia="仿宋_GB2312"/>
                <w:sz w:val="21"/>
              </w:rPr>
              <w:t>粉刷</w:t>
            </w:r>
            <w:r>
              <w:rPr>
                <w:rFonts w:ascii="仿宋_GB2312" w:hAnsi="仿宋_GB2312" w:cs="仿宋_GB2312" w:eastAsia="仿宋_GB2312"/>
                <w:sz w:val="21"/>
              </w:rPr>
              <w:t>乳胶漆。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份、副本贰份、电子版壹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 3、纸质版投标文件双面打印。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 2）2024年度经审计的财务报告或在磋商日期前12个月内银行出具的资信证明； 3）提供具有履行本合同所必需专业技术能力的说明及承诺； 4）依法缴纳税收和社会保障资金的良好记录（截止磋商日期前12个月内任意1个月的缴费凭据或提供税务部门和社保部门出具的纳税证明和社保证明）。依法免税的供应商提供相应文件证明其依法免税；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 2）2024年度经审计的财务报告或在磋商日期前12个月内银行出具的资信证明； 3）提供具有履行本合同所必需专业技术能力的说明及承诺； 4）依法缴纳税收和社会保障资金的良好记录（截止磋商日期前12个月内任意1个月的缴费凭据或提供税务部门和社保部门出具的纳税证明和社保证明）。依法免税的供应商提供相应文件证明其依法免税；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项目经理需具备建筑工程专业二级或以上注册建造师证书和安全生产考核合格证（B证），且无在建工程项目（提供承诺函）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报价函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建筑工程施工总承包三级及以上资质或建筑装修装饰工程专业承包二级及以上资质</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供应商具备建筑工程施工总承包三级及以上资质或建筑装修装饰工程专业承包二级及以上资质和有效的安全生产许可证；（不接受批准件）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供应商及项目经理信息在“陕西省住房和城乡建设厅系统平台”或“陕西省建筑市场监管与诚信信息发布平台”备案可查询，提供查询截图</w:t>
            </w:r>
          </w:p>
        </w:tc>
        <w:tc>
          <w:tcPr>
            <w:tcW w:type="dxa" w:w="3322"/>
          </w:tcPr>
          <w:p>
            <w:pPr>
              <w:pStyle w:val="null3"/>
            </w:pPr>
            <w:r>
              <w:rPr>
                <w:rFonts w:ascii="仿宋_GB2312" w:hAnsi="仿宋_GB2312" w:cs="仿宋_GB2312" w:eastAsia="仿宋_GB2312"/>
              </w:rPr>
              <w:t>供应商及项目经理信息在“陕西省住房和城乡建设厅系统平台”或“陕西省建筑市场监管与诚信信息发布平台”备案可查询，提供查询截图</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项目经理需具备建筑工程专业二级或以上注册建造师证书和安全生产考核合格证（B证），且无在建工程项目（提供承诺函）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报价函 资格响应表.docx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建筑工程施工总承包三级及以上资质或建筑装修装饰工程专业承包二级及以上资质</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供应商具备建筑工程施工总承包三级及以上资质或建筑装修装饰工程专业承包二级及以上资质和有效的安全生产许可证；（不接受批准件）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供应商及项目经理信息在“陕西省住房和城乡建设厅系统平台”或“陕西省建筑市场监管与诚信信息发布平台”备案可查询，提供查询截图</w:t>
            </w:r>
          </w:p>
        </w:tc>
        <w:tc>
          <w:tcPr>
            <w:tcW w:type="dxa" w:w="3322"/>
          </w:tcPr>
          <w:p>
            <w:pPr>
              <w:pStyle w:val="null3"/>
            </w:pPr>
            <w:r>
              <w:rPr>
                <w:rFonts w:ascii="仿宋_GB2312" w:hAnsi="仿宋_GB2312" w:cs="仿宋_GB2312" w:eastAsia="仿宋_GB2312"/>
              </w:rPr>
              <w:t>供应商及项目经理信息在“陕西省住房和城乡建设厅系统平台”或“陕西省建筑市场监管与诚信信息发布平台”备案可查询，提供查询截图</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响应文件封面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 24个月</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工程竣工验收合格，经甲方审计后一次性支付，最终支付金额以审计定案金额为准。乙方向甲方提供与合同相符的单位、开户行及银行账号的有效税务发票，甲方按照财务手续，一次性支付工程款。</w:t>
            </w:r>
          </w:p>
        </w:tc>
        <w:tc>
          <w:tcPr>
            <w:tcW w:type="dxa" w:w="1661"/>
          </w:tcPr>
          <w:p>
            <w:pPr>
              <w:pStyle w:val="null3"/>
            </w:pPr>
            <w:r>
              <w:rPr>
                <w:rFonts w:ascii="仿宋_GB2312" w:hAnsi="仿宋_GB2312" w:cs="仿宋_GB2312" w:eastAsia="仿宋_GB2312"/>
              </w:rPr>
              <w:t>商务及技术偏离表.docx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响应文件封面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 24个月</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工程竣工验收合格，经甲方审计后一次性支付，最终支付金额以审计定案金额为准。乙方向甲方提供与合同相符的单位、开户行及银行账号的有效税务发票，甲方按照财务手续，一次性支付工程款。</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针对本项目提供的实施方案进行综合评审。 A.实施方案完整详细、有针对性，完全满足项目实施，具有优化建议的得10分； B.实施方案完整，可行，能满足项目实施的全部要求的得8分； C.实施方案非专门针对本项目，存在少量逻辑漏洞或前后内容不一致的得5分； D.实施方案有较大缺陷，或完全套用其他项目且内容较少的得2分;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C.提供的安全作业方案及安全配套措施非专门针对本项目，套用其他项目内容，存在少量逻辑漏洞或前后内容不一致的得5分； D.提供的安全作业方案及安全配套措施简陋，存在影响采购人安全作业要求实现的，得2分。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针对本项目提供的工程质量及工期的技术组织措施进行综合评审。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A.机构设置合理完善，人员配备齐全，技术经验丰富，人员专业性强，完全满足项目需求得10分； B.机构设置合理，人员配备齐全，且具备从业经验，满足项目需求得8分； C.机构设置非专门针对本项目，人员配备、技术经验有欠缺的得5分； D.机构设置、人员配备不完整，或完整但无相关经验的得2分；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针对本项目投入的施工机械配备和材料投入计划等进行综合评审。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D.施工机械配备和材料投入计划较差，影响本项目实施的得2分；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针对本项目的劳动力安排计划及劳务分包情况表，根据合理、可行程度进行综合评审。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项目负责人及主要人员.docx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提供供应商2022年1月至今同类项目业绩；每提供1份计1分，满分5分。（以合同签订日期为准）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满足磋商文件要求且最后报价最低的磋商报价为磋商基准价，其价格分为满分。其他供应商的价格分统一按照下列公式计算：报价得分=（磋商基准价/最后报价）×最后报价总分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针对本项目提供的实施方案进行综合评审。 A.实施方案完整详细、有针对性，完全满足项目实施，具有优化建议的得10分； B.实施方案完整，可行，能满足项目实施的全部要求的得8分； C.实施方案非专门针对本项目，存在少量逻辑漏洞或前后内容不一致的得5分； D.实施方案有较大缺陷，或完全套用其他项目且内容较少的得2分;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 xml:space="preserve">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C.提供的安全作业方案及安全配套措施非专门针对本项目，套用其他项目内容，存在少量逻辑漏洞或前后内容不一致的得5分； D.提供的安全作业方案及安全配套措施简陋，存在影响采购人安全作业要求实现的，得2分。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针对本项目提供的工程质量及工期的技术组织措施进行综合评审。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A.机构设置合理完善，人员配备齐全，技术经验丰富，人员专业性强，完全满足项目需求得10分； B.机构设置合理，人员配备齐全，且具备从业经验，满足项目需求得8分； C.机构设置非专门针对本项目，人员配备、技术经验有欠缺的得5分； D.机构设置、人员配备不完整，或完整但无相关经验的得2分；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针对本项目投入的施工机械配备和材料投入计划等进行综合评审。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D.施工机械配备和材料投入计划较差，影响本项目实施的得2分；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针对本项目的劳动力安排计划及劳务分包情况表，根据合理、可行程度进行综合评审。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项目负责人及主要人员.docx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提供供应商2022年1月至今同类项目业绩；每提供1份计1分，满分5分。（以合同签订日期为准）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满足磋商文件要求且最后报价最低的磋商报价为磋商基准价，其价格分为满分。其他供应商的价格分统一按照下列公式计算：报价得分=（磋商基准价/最后报价）×最后报价总分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详见附件：项目负责人及主要人员.docx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详见附件：项目负责人及主要人员.docx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