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版本号：SXDZ2025-ZC-GK012.1B120250626001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陕西省荣军招待所职工餐厅食材配送(二次)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SXDZ2025-ZC-GK012.1B1</w:t>
      </w:r>
      <w:r>
        <w:br/>
      </w:r>
      <w:r>
        <w:br/>
      </w:r>
      <w:r>
        <w:br/>
      </w:r>
    </w:p>
    <w:p>
      <w:pPr>
        <w:pStyle w:val="null3"/>
        <w:jc w:val="center"/>
        <w:outlineLvl w:val="2"/>
      </w:pPr>
      <w:r>
        <w:rPr>
          <w:rFonts w:ascii="仿宋_GB2312" w:hAnsi="仿宋_GB2312" w:cs="仿宋_GB2312" w:eastAsia="仿宋_GB2312"/>
          <w:sz w:val="28"/>
          <w:b/>
        </w:rPr>
        <w:t>陕西省康复辅助器具中心</w:t>
      </w:r>
    </w:p>
    <w:p>
      <w:pPr>
        <w:pStyle w:val="null3"/>
        <w:jc w:val="center"/>
        <w:outlineLvl w:val="2"/>
      </w:pPr>
      <w:r>
        <w:rPr>
          <w:rFonts w:ascii="仿宋_GB2312" w:hAnsi="仿宋_GB2312" w:cs="仿宋_GB2312" w:eastAsia="仿宋_GB2312"/>
          <w:sz w:val="28"/>
          <w:b/>
        </w:rPr>
        <w:t>陕西东卓项目管理有限公司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陕西东卓项目管理有限公司</w:t>
      </w:r>
      <w:r>
        <w:rPr>
          <w:rFonts w:ascii="仿宋_GB2312" w:hAnsi="仿宋_GB2312" w:cs="仿宋_GB2312" w:eastAsia="仿宋_GB2312"/>
        </w:rPr>
        <w:t>（以下简称“代理机构”）受</w:t>
      </w:r>
      <w:r>
        <w:rPr>
          <w:rFonts w:ascii="仿宋_GB2312" w:hAnsi="仿宋_GB2312" w:cs="仿宋_GB2312" w:eastAsia="仿宋_GB2312"/>
        </w:rPr>
        <w:t>陕西省康复辅助器具中心</w:t>
      </w:r>
      <w:r>
        <w:rPr>
          <w:rFonts w:ascii="仿宋_GB2312" w:hAnsi="仿宋_GB2312" w:cs="仿宋_GB2312" w:eastAsia="仿宋_GB2312"/>
        </w:rPr>
        <w:t>委托，拟对</w:t>
      </w:r>
      <w:r>
        <w:rPr>
          <w:rFonts w:ascii="仿宋_GB2312" w:hAnsi="仿宋_GB2312" w:cs="仿宋_GB2312" w:eastAsia="仿宋_GB2312"/>
        </w:rPr>
        <w:t>陕西省荣军招待所职工餐厅食材配送(二次)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SXDZ2025-ZC-GK012.1B1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陕西省荣军招待所职工餐厅食材配送(二次)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员工用餐食材采购，员工用餐提供三餐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采购包1（陕西省荣军招待所职工餐厅食材配送）：属于专门面向中小企业采购。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财务报告：提供2023年或2024年度经审计的财务报告（成立时间至投标文件递交截止时间不足一年的可提供成立后任意时段的资产负债表），或提供投标文件递交截止日前三个月内基本存款账户开户银行出具的资信证明文件及基本存款账户开户许可证（无基本存款账户开户许可证可提供其基本存款账户信息证明）</w:t>
      </w:r>
    </w:p>
    <w:p>
      <w:pPr>
        <w:pStyle w:val="null3"/>
      </w:pPr>
      <w:r>
        <w:rPr>
          <w:rFonts w:ascii="仿宋_GB2312" w:hAnsi="仿宋_GB2312" w:cs="仿宋_GB2312" w:eastAsia="仿宋_GB2312"/>
        </w:rPr>
        <w:t>3、履行合同技术能力的承诺：提供具有履行合同所必需的设备和专业技术能力的承诺</w:t>
      </w:r>
    </w:p>
    <w:p>
      <w:pPr>
        <w:pStyle w:val="null3"/>
      </w:pPr>
      <w:r>
        <w:rPr>
          <w:rFonts w:ascii="仿宋_GB2312" w:hAnsi="仿宋_GB2312" w:cs="仿宋_GB2312" w:eastAsia="仿宋_GB2312"/>
        </w:rPr>
        <w:t>4、税收缴纳证明：提供投标截止日前一年内已缴纳的至少一个月的纳税证明或完税证明，依法免税的单位应提供相关证明材料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5、社会保障资金缴纳证明：提供投标截止日前一年内已缴存的至少一个月的社会保障资金缴存单据或社保机构开具的社会保险参保缴费情况证明，依法不需要缴纳社会保障资金的单位应提供相关证明材料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7、法人身份证明或授权书：法定代表人参加的，须提供法定代表人身份证明及本人身份证复印件；法定代表人授权他人参加的，须提供法定代表人委托授权书、被授权代表的身份证复印件</w:t>
      </w:r>
    </w:p>
    <w:p>
      <w:pPr>
        <w:pStyle w:val="null3"/>
      </w:pPr>
      <w:r>
        <w:rPr>
          <w:rFonts w:ascii="仿宋_GB2312" w:hAnsi="仿宋_GB2312" w:cs="仿宋_GB2312" w:eastAsia="仿宋_GB2312"/>
        </w:rPr>
        <w:t>8、信用记录审查：供应商不得为“信用中国”网站（www.creditchina.gov.cn）中列入失信被执行人和重大税收违法案件当事人名 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p>
      <w:pPr>
        <w:pStyle w:val="null3"/>
      </w:pPr>
      <w:r>
        <w:rPr>
          <w:rFonts w:ascii="仿宋_GB2312" w:hAnsi="仿宋_GB2312" w:cs="仿宋_GB2312" w:eastAsia="仿宋_GB2312"/>
        </w:rPr>
        <w:t>9、本项目不接受联合体投标：本项目不接受联合体投标。（供应商须提供书面承诺，加盖供应商公章）</w:t>
      </w:r>
    </w:p>
    <w:p>
      <w:pPr>
        <w:pStyle w:val="null3"/>
      </w:pPr>
      <w:r>
        <w:rPr>
          <w:rFonts w:ascii="仿宋_GB2312" w:hAnsi="仿宋_GB2312" w:cs="仿宋_GB2312" w:eastAsia="仿宋_GB2312"/>
        </w:rPr>
        <w:t>10、控股、管理关系：单位负责人为同一人或者存在控股、管理关系的不同单位不得同时参加同一项目投标（供应商须提供书面承诺，加盖供应商公章）</w:t>
      </w:r>
    </w:p>
    <w:p>
      <w:pPr>
        <w:pStyle w:val="null3"/>
      </w:pPr>
      <w:r>
        <w:rPr>
          <w:rFonts w:ascii="仿宋_GB2312" w:hAnsi="仿宋_GB2312" w:cs="仿宋_GB2312" w:eastAsia="仿宋_GB2312"/>
        </w:rPr>
        <w:t>11、中小企业声明函：本项目专门面向中小企业采购。（供应商须提供中小企业声明函，加盖供应商公章）</w:t>
      </w:r>
    </w:p>
    <w:p>
      <w:pPr>
        <w:pStyle w:val="null3"/>
      </w:pPr>
      <w:r>
        <w:rPr>
          <w:rFonts w:ascii="仿宋_GB2312" w:hAnsi="仿宋_GB2312" w:cs="仿宋_GB2312" w:eastAsia="仿宋_GB2312"/>
        </w:rPr>
        <w:t>12、资质：供应商需提供合法有效的《食品经营许可证》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陕西省康复辅助器具中心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西安市长乐西路118号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029-68728936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陕西东卓项目管理有限公司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西安市莲湖区御笔城市广场3号楼408室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029-86637322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本采购包履约保证金为合同金额的1.5%</w:t>
            </w:r>
          </w:p>
          <w:p>
            <w:pPr>
              <w:pStyle w:val="null3"/>
            </w:pPr>
            <w:r>
              <w:rPr>
                <w:rFonts w:ascii="仿宋_GB2312" w:hAnsi="仿宋_GB2312" w:cs="仿宋_GB2312" w:eastAsia="仿宋_GB2312"/>
              </w:rPr>
              <w:t>说明：1、缴纳方式：中标供应商应当以支票、汇票、本票或者金融机构、担保机构出具的保函等非现金形式提交履约保证金； 2、中标供应商应在签订合同前向采购人提供； 3、履约保证金的有效期：合同生效之日起至合同约定的中标供应商主要义务履行完毕止； 4、中标供应商合同主要义务履行完毕，采购人在验收合格后应按合同约定及时退还履约保证金。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采购预算金额为基数，参照国家计委颁发的《招标代理服务收费管理暂行办法》（计价格[2002]1980号）、国家发展和改革委员会办公厅颁发的《关于招标代理服务收费有关问题的通知》（发改办价格[2003]857号）文件规定标准下浮10%收取。接收代理服务费账户名称：陕西东卓项目管理有限公司 开户银行：中国银行股份有限公司西安经济技术开发区支行 账号：102494375315 转账事由：（项目名称）代理服务费 咨询电话：029-86637322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陕西省康复辅助器具中心</w:t>
      </w:r>
      <w:r>
        <w:rPr>
          <w:rFonts w:ascii="仿宋_GB2312" w:hAnsi="仿宋_GB2312" w:cs="仿宋_GB2312" w:eastAsia="仿宋_GB2312"/>
        </w:rPr>
        <w:t>和</w:t>
      </w:r>
      <w:r>
        <w:rPr>
          <w:rFonts w:ascii="仿宋_GB2312" w:hAnsi="仿宋_GB2312" w:cs="仿宋_GB2312" w:eastAsia="仿宋_GB2312"/>
        </w:rPr>
        <w:t>陕西东卓项目管理有限公司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陕西省康复辅助器具中心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陕西东卓项目管理有限公司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陕西省康复辅助器具中心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陕西东卓项目管理有限公司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以正式合同约定为准。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联系电话：029-86637322</w:t>
      </w:r>
    </w:p>
    <w:p>
      <w:pPr>
        <w:pStyle w:val="null3"/>
      </w:pPr>
      <w:r>
        <w:rPr>
          <w:rFonts w:ascii="仿宋_GB2312" w:hAnsi="仿宋_GB2312" w:cs="仿宋_GB2312" w:eastAsia="仿宋_GB2312"/>
        </w:rPr>
        <w:t>地址：西安市莲湖区御笔城市广场3号楼408室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员工用餐食材采购，员工用餐提供三餐。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720,000.00</w:t>
      </w:r>
    </w:p>
    <w:p>
      <w:pPr>
        <w:pStyle w:val="null3"/>
      </w:pPr>
      <w:r>
        <w:rPr>
          <w:rFonts w:ascii="仿宋_GB2312" w:hAnsi="仿宋_GB2312" w:cs="仿宋_GB2312" w:eastAsia="仿宋_GB2312"/>
        </w:rPr>
        <w:t>采购包最高限价（元）: 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职工餐厅食材采购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标的名称：职工餐厅食材采购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1.总体要求:员工用餐食材采购，员工用餐提供三餐。</w:t>
            </w:r>
          </w:p>
          <w:p>
            <w:pPr>
              <w:pStyle w:val="null3"/>
              <w:jc w:val="both"/>
            </w:pPr>
            <w:r>
              <w:rPr>
                <w:rFonts w:ascii="仿宋_GB2312" w:hAnsi="仿宋_GB2312" w:cs="仿宋_GB2312" w:eastAsia="仿宋_GB2312"/>
                <w:sz w:val="21"/>
              </w:rPr>
              <w:t>2.食材采购要求：</w:t>
            </w:r>
          </w:p>
          <w:p>
            <w:pPr>
              <w:pStyle w:val="null3"/>
              <w:jc w:val="both"/>
            </w:pPr>
            <w:r>
              <w:rPr>
                <w:rFonts w:ascii="仿宋_GB2312" w:hAnsi="仿宋_GB2312" w:cs="仿宋_GB2312" w:eastAsia="仿宋_GB2312"/>
                <w:sz w:val="21"/>
              </w:rPr>
              <w:t>(1）所有食材均须符合《中华人民共和国食品安全法》，须具备所配送产品的检测报告或食品检验合格证；主要食材应选取符合国家标准产品。</w:t>
            </w:r>
          </w:p>
          <w:p>
            <w:pPr>
              <w:pStyle w:val="null3"/>
              <w:jc w:val="both"/>
            </w:pPr>
            <w:r>
              <w:rPr>
                <w:rFonts w:ascii="仿宋_GB2312" w:hAnsi="仿宋_GB2312" w:cs="仿宋_GB2312" w:eastAsia="仿宋_GB2312"/>
                <w:sz w:val="21"/>
              </w:rPr>
              <w:t>(2）大米必须符合</w:t>
            </w:r>
            <w:r>
              <w:rPr>
                <w:rFonts w:ascii="仿宋_GB2312" w:hAnsi="仿宋_GB2312" w:cs="仿宋_GB2312" w:eastAsia="仿宋_GB2312"/>
                <w:sz w:val="21"/>
              </w:rPr>
              <w:t>GB/T1354-2018食品安全</w:t>
            </w:r>
            <w:r>
              <w:rPr>
                <w:rFonts w:ascii="仿宋_GB2312" w:hAnsi="仿宋_GB2312" w:cs="仿宋_GB2312" w:eastAsia="仿宋_GB2312"/>
                <w:sz w:val="21"/>
              </w:rPr>
              <w:t>标准，</w:t>
            </w:r>
            <w:r>
              <w:rPr>
                <w:rFonts w:ascii="仿宋_GB2312" w:hAnsi="仿宋_GB2312" w:cs="仿宋_GB2312" w:eastAsia="仿宋_GB2312"/>
                <w:sz w:val="21"/>
              </w:rPr>
              <w:t>提供生产厂家的食品生产许可证及检测报告，</w:t>
            </w:r>
            <w:r>
              <w:rPr>
                <w:rFonts w:ascii="仿宋_GB2312" w:hAnsi="仿宋_GB2312" w:cs="仿宋_GB2312" w:eastAsia="仿宋_GB2312"/>
                <w:sz w:val="21"/>
              </w:rPr>
              <w:t>并列明可提供配送产品的品牌</w:t>
            </w:r>
            <w:r>
              <w:rPr>
                <w:rFonts w:ascii="仿宋_GB2312" w:hAnsi="仿宋_GB2312" w:cs="仿宋_GB2312" w:eastAsia="仿宋_GB2312"/>
                <w:sz w:val="21"/>
              </w:rPr>
              <w:t>及</w:t>
            </w:r>
            <w:r>
              <w:rPr>
                <w:rFonts w:ascii="仿宋_GB2312" w:hAnsi="仿宋_GB2312" w:cs="仿宋_GB2312" w:eastAsia="仿宋_GB2312"/>
                <w:sz w:val="21"/>
              </w:rPr>
              <w:t>产品详细的参数。</w:t>
            </w:r>
          </w:p>
          <w:p>
            <w:pPr>
              <w:pStyle w:val="null3"/>
              <w:jc w:val="both"/>
            </w:pPr>
            <w:r>
              <w:rPr>
                <w:rFonts w:ascii="仿宋_GB2312" w:hAnsi="仿宋_GB2312" w:cs="仿宋_GB2312" w:eastAsia="仿宋_GB2312"/>
                <w:sz w:val="21"/>
              </w:rPr>
              <w:t>(3）食用油必须符合</w:t>
            </w:r>
            <w:r>
              <w:rPr>
                <w:rFonts w:ascii="仿宋_GB2312" w:hAnsi="仿宋_GB2312" w:cs="仿宋_GB2312" w:eastAsia="仿宋_GB2312"/>
                <w:sz w:val="21"/>
              </w:rPr>
              <w:t>GB/T1535-2017食品安全</w:t>
            </w:r>
            <w:r>
              <w:rPr>
                <w:rFonts w:ascii="仿宋_GB2312" w:hAnsi="仿宋_GB2312" w:cs="仿宋_GB2312" w:eastAsia="仿宋_GB2312"/>
                <w:sz w:val="21"/>
              </w:rPr>
              <w:t>标准，</w:t>
            </w:r>
            <w:r>
              <w:rPr>
                <w:rFonts w:ascii="仿宋_GB2312" w:hAnsi="仿宋_GB2312" w:cs="仿宋_GB2312" w:eastAsia="仿宋_GB2312"/>
                <w:sz w:val="21"/>
              </w:rPr>
              <w:t>提供生产厂家的食品生产许可证及检测报告，</w:t>
            </w:r>
            <w:r>
              <w:rPr>
                <w:rFonts w:ascii="仿宋_GB2312" w:hAnsi="仿宋_GB2312" w:cs="仿宋_GB2312" w:eastAsia="仿宋_GB2312"/>
                <w:sz w:val="21"/>
              </w:rPr>
              <w:t>并列明可提供配送产品的品牌</w:t>
            </w:r>
            <w:r>
              <w:rPr>
                <w:rFonts w:ascii="仿宋_GB2312" w:hAnsi="仿宋_GB2312" w:cs="仿宋_GB2312" w:eastAsia="仿宋_GB2312"/>
                <w:sz w:val="21"/>
              </w:rPr>
              <w:t>及</w:t>
            </w:r>
            <w:r>
              <w:rPr>
                <w:rFonts w:ascii="仿宋_GB2312" w:hAnsi="仿宋_GB2312" w:cs="仿宋_GB2312" w:eastAsia="仿宋_GB2312"/>
                <w:sz w:val="21"/>
              </w:rPr>
              <w:t>产品详细的参数。</w:t>
            </w:r>
          </w:p>
          <w:p>
            <w:pPr>
              <w:pStyle w:val="null3"/>
              <w:jc w:val="both"/>
            </w:pPr>
            <w:r>
              <w:rPr>
                <w:rFonts w:ascii="仿宋_GB2312" w:hAnsi="仿宋_GB2312" w:cs="仿宋_GB2312" w:eastAsia="仿宋_GB2312"/>
                <w:sz w:val="21"/>
              </w:rPr>
              <w:t>(4）面粉（一级以上（含一级）小麦粉）必须符合GB</w:t>
            </w:r>
            <w:r>
              <w:rPr>
                <w:rFonts w:ascii="仿宋_GB2312" w:hAnsi="仿宋_GB2312" w:cs="仿宋_GB2312" w:eastAsia="仿宋_GB2312"/>
                <w:sz w:val="21"/>
              </w:rPr>
              <w:t>/T1355-2021</w:t>
            </w:r>
            <w:r>
              <w:rPr>
                <w:rFonts w:ascii="仿宋_GB2312" w:hAnsi="仿宋_GB2312" w:cs="仿宋_GB2312" w:eastAsia="仿宋_GB2312"/>
                <w:sz w:val="21"/>
              </w:rPr>
              <w:t>标准，</w:t>
            </w:r>
            <w:r>
              <w:rPr>
                <w:rFonts w:ascii="仿宋_GB2312" w:hAnsi="仿宋_GB2312" w:cs="仿宋_GB2312" w:eastAsia="仿宋_GB2312"/>
                <w:sz w:val="21"/>
              </w:rPr>
              <w:t>提供生产厂家的食品生产许可证及检测报告，</w:t>
            </w:r>
            <w:r>
              <w:rPr>
                <w:rFonts w:ascii="仿宋_GB2312" w:hAnsi="仿宋_GB2312" w:cs="仿宋_GB2312" w:eastAsia="仿宋_GB2312"/>
                <w:sz w:val="21"/>
              </w:rPr>
              <w:t>并列明可提供配送产品的品牌</w:t>
            </w:r>
            <w:r>
              <w:rPr>
                <w:rFonts w:ascii="仿宋_GB2312" w:hAnsi="仿宋_GB2312" w:cs="仿宋_GB2312" w:eastAsia="仿宋_GB2312"/>
                <w:sz w:val="21"/>
              </w:rPr>
              <w:t>及</w:t>
            </w:r>
            <w:r>
              <w:rPr>
                <w:rFonts w:ascii="仿宋_GB2312" w:hAnsi="仿宋_GB2312" w:cs="仿宋_GB2312" w:eastAsia="仿宋_GB2312"/>
                <w:sz w:val="21"/>
              </w:rPr>
              <w:t>产品详细的参数。</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蔬菜必须保证新鲜、无农药残留，</w:t>
            </w:r>
            <w:r>
              <w:rPr>
                <w:rFonts w:ascii="仿宋_GB2312" w:hAnsi="仿宋_GB2312" w:cs="仿宋_GB2312" w:eastAsia="仿宋_GB2312"/>
                <w:sz w:val="21"/>
              </w:rPr>
              <w:t>须提供无农药残留相关证明资料；</w:t>
            </w:r>
            <w:r>
              <w:rPr>
                <w:rFonts w:ascii="仿宋_GB2312" w:hAnsi="仿宋_GB2312" w:cs="仿宋_GB2312" w:eastAsia="仿宋_GB2312"/>
                <w:sz w:val="21"/>
              </w:rPr>
              <w:t>禽蛋必须保证鲜新，大小均匀、无破损、色泽光滑。</w:t>
            </w:r>
          </w:p>
          <w:p>
            <w:pPr>
              <w:pStyle w:val="null3"/>
              <w:jc w:val="both"/>
            </w:pPr>
            <w:r>
              <w:rPr>
                <w:rFonts w:ascii="仿宋_GB2312" w:hAnsi="仿宋_GB2312" w:cs="仿宋_GB2312" w:eastAsia="仿宋_GB2312"/>
                <w:sz w:val="21"/>
              </w:rPr>
              <w:t>(6）肉类、冷冻产品必须保证质量，肉类产品应具有相关动物检验检疫合格证明。</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杂粮及调味品要品质好，无霉变、无杂质。杂粮</w:t>
            </w:r>
            <w:r>
              <w:rPr>
                <w:rFonts w:ascii="仿宋_GB2312" w:hAnsi="仿宋_GB2312" w:cs="仿宋_GB2312" w:eastAsia="仿宋_GB2312"/>
                <w:sz w:val="21"/>
              </w:rPr>
              <w:t>提供</w:t>
            </w:r>
            <w:r>
              <w:rPr>
                <w:rFonts w:ascii="仿宋_GB2312" w:hAnsi="仿宋_GB2312" w:cs="仿宋_GB2312" w:eastAsia="仿宋_GB2312"/>
                <w:sz w:val="21"/>
              </w:rPr>
              <w:t>生产厂家的食品生产许可证</w:t>
            </w:r>
            <w:r>
              <w:rPr>
                <w:rFonts w:ascii="仿宋_GB2312" w:hAnsi="仿宋_GB2312" w:cs="仿宋_GB2312" w:eastAsia="仿宋_GB2312"/>
                <w:sz w:val="21"/>
              </w:rPr>
              <w:t>，并列明</w:t>
            </w:r>
            <w:r>
              <w:rPr>
                <w:rFonts w:ascii="仿宋_GB2312" w:hAnsi="仿宋_GB2312" w:cs="仿宋_GB2312" w:eastAsia="仿宋_GB2312"/>
                <w:sz w:val="21"/>
              </w:rPr>
              <w:t>配送产品品牌及产品详细参数</w:t>
            </w:r>
            <w:r>
              <w:rPr>
                <w:rFonts w:ascii="仿宋_GB2312" w:hAnsi="仿宋_GB2312" w:cs="仿宋_GB2312" w:eastAsia="仿宋_GB2312"/>
                <w:sz w:val="21"/>
              </w:rPr>
              <w:t>；</w:t>
            </w:r>
            <w:r>
              <w:rPr>
                <w:rFonts w:ascii="仿宋_GB2312" w:hAnsi="仿宋_GB2312" w:cs="仿宋_GB2312" w:eastAsia="仿宋_GB2312"/>
                <w:sz w:val="21"/>
              </w:rPr>
              <w:t>定型包装调味品</w:t>
            </w:r>
            <w:r>
              <w:rPr>
                <w:rFonts w:ascii="仿宋_GB2312" w:hAnsi="仿宋_GB2312" w:cs="仿宋_GB2312" w:eastAsia="仿宋_GB2312"/>
                <w:sz w:val="21"/>
              </w:rPr>
              <w:t>提供</w:t>
            </w:r>
            <w:r>
              <w:rPr>
                <w:rFonts w:ascii="仿宋_GB2312" w:hAnsi="仿宋_GB2312" w:cs="仿宋_GB2312" w:eastAsia="仿宋_GB2312"/>
                <w:sz w:val="21"/>
              </w:rPr>
              <w:t>生产厂家的食品生产许可证</w:t>
            </w:r>
            <w:r>
              <w:rPr>
                <w:rFonts w:ascii="仿宋_GB2312" w:hAnsi="仿宋_GB2312" w:cs="仿宋_GB2312" w:eastAsia="仿宋_GB2312"/>
                <w:sz w:val="21"/>
              </w:rPr>
              <w:t>并列明</w:t>
            </w:r>
            <w:r>
              <w:rPr>
                <w:rFonts w:ascii="仿宋_GB2312" w:hAnsi="仿宋_GB2312" w:cs="仿宋_GB2312" w:eastAsia="仿宋_GB2312"/>
                <w:sz w:val="21"/>
              </w:rPr>
              <w:t>配送产品品牌及产品详细参数。</w:t>
            </w:r>
          </w:p>
          <w:p>
            <w:pPr>
              <w:pStyle w:val="null3"/>
              <w:jc w:val="both"/>
            </w:pPr>
            <w:r>
              <w:rPr>
                <w:rFonts w:ascii="仿宋_GB2312" w:hAnsi="仿宋_GB2312" w:cs="仿宋_GB2312" w:eastAsia="仿宋_GB2312"/>
                <w:sz w:val="21"/>
              </w:rPr>
              <w:t>(8）豆制品、乳制品及其他半成品送货当日时间不得超过保质期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9）以上所有食材根据采购人需求，不定期抽查检测并出具检测报告。</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自合同签订之日起1年，在合同期内，按采购人要求时间供货。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西安市兴庆路218号（陕西省荣军招待所院内）。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（1）验收标准如下： 定型包装食品，包装标识或者产品说明书标出品名、产地、厂名、生产日期、批号或者代号、规格、配方或者主要成份、保质期限、食用或者使用方法等，防止购进假冒伪劣产品，禁止“三无”产品进入餐厅； （2）主要食材中的定型包装食品，如米面油类，供应商需要提供生产厂家的卫生许可证（若非从厂家直接采购的还需同时提供供货单位的卫生许可证）复印件； （3）包装污秽不洁、严重破损、运输工具不洁等造成污染的产品不予以验收：（4）非定型包装的食品（或原材料）需进行感官检查：若发现腐败变质、霉变、生虫、不洁，混有异物或者其他感官性状异常现象，不予验收：未经卫生检验部门或者检验不合格的肉类及其制品不予验收；掺假、掺杂、伪造的食品不予验收。 (5）采购人组织人员对所购食品及辅料的质量、数量进行核对验收，验收合格的及时入库，并签字确认。不合格产品退回供应商。 (6）产品供应渠道正常、稳定且质量有保证，检验手续合法有效，具备完善的管理制度流程，确保食品安全。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具备相应的食材存储能力，提供相应证明材料。（2）供应商须具备相应的食材运输能力，供应商自备送货车（冷藏或恒温），安排专人及时供货，提供相应证明材料（运输搬运费由供应商承担且已包含在报价中）。 （3）定型包装食品，包装标识或者产品说明书标出品名、产地、厂名、生产日期、批号或者代号、规格、配方或者主要成份、保质期限、食用或者使用方法等。</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产品保质期剩余时间不得少于产品保质期的1/3</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双方协商解决，未能协商解决的按照国家相关法律法规执行。具体以正式合同约定为准。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1.本采购包总结算价不得超过采购预算，若达到采购预算甲方有权提前终止合同。 2.支付约定中的支付合同总金额100%是指支付经双方确认过的当月结算金额的100%。 3.报价要求：（1）在供货价格的基础上，按下浮率报价，每月结算价格计算方式为：每月供货价总额×（1-下浮率）。 （2）供货价格的确定:所有食材供货价参考西安市农业农村局网站公布的零售市场价格若西安市农业农村局网站无该商品价格则以华润万家超市的挂牌价为准。4、请供应商按照陕西省财政厅关于政府采购供应商注册登记有关事项的通知中的要求，通过陕西省政府采购网（http://www.ccgp-shaanxi.gov.cn/）注册登记加入陕西省政府采购供应商库。5、请中标供应商在领取中标通知书时， 向我单位递交纸质版投标文件正本壹份、副本贰份，电子文件贰份（纸质文件与线上评审电子文件保持一致）。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或2024年度经审计的财务报告（成立时间至投标文件递交截止时间不足一年的可提供成立后任意时段的资产负债表），或提供投标文件递交截止日前三个月内基本存款账户开户银行出具的资信证明文件及基本存款账户开户许可证（无基本存款账户开户许可证可提供其基本存款账户信息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履行合同技术能力的承诺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法人身份证明或授权书</w:t>
            </w:r>
          </w:p>
        </w:tc>
        <w:tc>
          <w:tcPr>
            <w:tcW w:type="dxa" w:w="3322"/>
          </w:tcPr>
          <w:p>
            <w:pPr>
              <w:pStyle w:val="null3"/>
            </w:pPr>
            <w:r>
              <w:rPr>
                <w:rFonts w:ascii="仿宋_GB2312" w:hAnsi="仿宋_GB2312" w:cs="仿宋_GB2312" w:eastAsia="仿宋_GB2312"/>
              </w:rPr>
              <w:t>法定代表人参加的，须提供法定代表人身份证明及本人身份证复印件；法定代表人授权他人参加的，须提供法定代表人委托授权书、被授权代表的身份证复印件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信用记录审查</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 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本项目不接受联合体投标。（供应商须提供书面承诺，加盖供应商公章）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单位负责人为同一人或者存在控股、管理关系的不同单位不得同时参加同一项目投标（供应商须提供书面承诺，加盖供应商公章）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供应商需提供合法有效的《食品经营许可证》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参与的供应商（联合体）提供的货物全部由符合政策要求的中小企业制造。（供应商须提供中小企业声明函，加盖供应商公章）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投标文件需要法定代表人或其授权代表的签字盖章的，应签字盖章齐全。</w:t>
            </w:r>
          </w:p>
        </w:tc>
        <w:tc>
          <w:tcPr>
            <w:tcW w:type="dxa" w:w="1661"/>
          </w:tcPr>
          <w:p>
            <w:pPr>
              <w:pStyle w:val="null3"/>
            </w:pPr>
            <w:r>
              <w:rPr>
                <w:rFonts w:ascii="仿宋_GB2312" w:hAnsi="仿宋_GB2312" w:cs="仿宋_GB2312" w:eastAsia="仿宋_GB2312"/>
              </w:rPr>
              <w:t>开标一览表 投标方案.docx 技术偏离表.docx 投标函 中小企业声明函 残疾人福利性单位声明函 标的清单 投标文件封面 商务偏离表.docx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投标文件语言、计量单位、报价货币</w:t>
            </w:r>
          </w:p>
        </w:tc>
        <w:tc>
          <w:tcPr>
            <w:tcW w:type="dxa" w:w="3322"/>
          </w:tcPr>
          <w:p>
            <w:pPr>
              <w:pStyle w:val="null3"/>
            </w:pPr>
            <w:r>
              <w:rPr>
                <w:rFonts w:ascii="仿宋_GB2312" w:hAnsi="仿宋_GB2312" w:cs="仿宋_GB2312" w:eastAsia="仿宋_GB2312"/>
              </w:rPr>
              <w:t>应符合“投标文件格式”和招标文件要求</w:t>
            </w:r>
          </w:p>
        </w:tc>
        <w:tc>
          <w:tcPr>
            <w:tcW w:type="dxa" w:w="1661"/>
          </w:tcPr>
          <w:p>
            <w:pPr>
              <w:pStyle w:val="null3"/>
            </w:pPr>
            <w:r>
              <w:rPr>
                <w:rFonts w:ascii="仿宋_GB2312" w:hAnsi="仿宋_GB2312" w:cs="仿宋_GB2312" w:eastAsia="仿宋_GB2312"/>
              </w:rPr>
              <w:t>开标一览表 投标方案.docx 技术偏离表.docx 投标函 中小企业声明函 残疾人福利性单位声明函 标的清单 投标文件封面 商务偏离表.docx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要求实质性条款全部响应，不能有任何采购人不能接受的附加条件</w:t>
            </w:r>
          </w:p>
        </w:tc>
        <w:tc>
          <w:tcPr>
            <w:tcW w:type="dxa" w:w="1661"/>
          </w:tcPr>
          <w:p>
            <w:pPr>
              <w:pStyle w:val="null3"/>
            </w:pPr>
            <w:r>
              <w:rPr>
                <w:rFonts w:ascii="仿宋_GB2312" w:hAnsi="仿宋_GB2312" w:cs="仿宋_GB2312" w:eastAsia="仿宋_GB2312"/>
              </w:rPr>
              <w:t>开标一览表 投标方案.docx 技术偏离表.docx 投标函 中小企业声明函 残疾人福利性单位声明函 标的清单 投标文件封面 商务偏离表.docx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应满足招标文件中要求的交货时间</w:t>
            </w:r>
          </w:p>
        </w:tc>
        <w:tc>
          <w:tcPr>
            <w:tcW w:type="dxa" w:w="1661"/>
          </w:tcPr>
          <w:p>
            <w:pPr>
              <w:pStyle w:val="null3"/>
            </w:pPr>
            <w:r>
              <w:rPr>
                <w:rFonts w:ascii="仿宋_GB2312" w:hAnsi="仿宋_GB2312" w:cs="仿宋_GB2312" w:eastAsia="仿宋_GB2312"/>
              </w:rPr>
              <w:t>开标一览表 投标方案.docx 标的清单 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食品安全及储存条件</w:t>
            </w:r>
          </w:p>
        </w:tc>
        <w:tc>
          <w:tcPr>
            <w:tcW w:type="dxa" w:w="2492"/>
          </w:tcPr>
          <w:p>
            <w:pPr>
              <w:pStyle w:val="null3"/>
            </w:pPr>
            <w:r>
              <w:rPr>
                <w:rFonts w:ascii="仿宋_GB2312" w:hAnsi="仿宋_GB2312" w:cs="仿宋_GB2312" w:eastAsia="仿宋_GB2312"/>
              </w:rPr>
              <w:t>供应商具有可靠的产品储藏、保鲜体系和储存场所，空间能够保证空气良好的流通性、适宜的储藏的温度等，要定期检查维护，提供相关证明文件（包括租赁合同或购房合同、储存场所照片及相应储存设备购置发票或现场实地设备照片等）： 储存条件正规、可靠，证明材料齐全得 2 分； 储存条件比较正规、可靠，证明材料较齐全得 1.5 分； 储存条件相对正规、可靠，证明材料相对齐全得 1 分； 储存条件基本正规，证明材料基本齐全得 0.5 分；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对投标文件中的质量控制方案进行评分（包括①原材料的来源、②供应商的选定、③选材标准、④配送产品质量控制方案、⑤运输途中质量控制方案、⑥送达采购人指定地后的质量控制方案） 评审依据:每一项服务方案及包含内容全面、详细完全满足项目需求且有利于项目实施得 3 分，①-⑥项合计得 18 分。 方案①-⑥项每一项单项方案内容不够完整、思路不够明晰合理、针对性相对差弱扣1分； 方案①-⑥项每一项包含内容有缺陷的扣2分； 方案①-⑥项任意一项缺项扣3 分，扣完为止。(缺陷是指: 内容不详细具体、条理不清晰、描述过于简单、与项目特点不匹配、凭空编造、逻辑漏洞、常识性错误、不可能实现的夸大情形、存在不适用项目实际情况的情形等) 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安全管理方案</w:t>
            </w:r>
          </w:p>
        </w:tc>
        <w:tc>
          <w:tcPr>
            <w:tcW w:type="dxa" w:w="2492"/>
          </w:tcPr>
          <w:p>
            <w:pPr>
              <w:pStyle w:val="null3"/>
            </w:pPr>
            <w:r>
              <w:rPr>
                <w:rFonts w:ascii="仿宋_GB2312" w:hAnsi="仿宋_GB2312" w:cs="仿宋_GB2312" w:eastAsia="仿宋_GB2312"/>
              </w:rPr>
              <w:t>评审内容：①安全责任划分标准；②安全事故的应对措施；③食材安全预防措施。 评审依据：每一项内容描述详细，切实可行符合项目实际内容得2分，①-③项合计得6分。内容①-③项每一项包含内容有缺陷的扣 1 分； 内容①-③项任意一项缺项扣 2 分，扣完为止。(缺陷是指:内容不详细具体、条理不清晰、描述过于简单、与项目特点不匹配、凭空编造、逻辑漏洞、常识性错误、不可能实现的夸大情形、存在不适用项目实际情况的情形等)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供应商提供配送方案，包括①整体配送计划方案、②专职配送队伍安排、③流程控制、④配送计划表及送货时间安排、⑤食材数量及种类管理、⑥交货方案等内容。 评审依据:每一项服务方案及包含内容全面、详细完全满足项目需求且有利于项目实施得 2 分，①-⑥项合计得 12 分； 方案①-⑥项每一项包含内容有缺陷的扣 1 分； 方案①-⑥项任意一项缺项扣 2 分，扣完为止。(缺陷是指:内容不详细具体、条理不清晰、描述过于简单、与项目特点不匹配、凭空编造、逻辑漏洞、常识性错误、不可能实现的夸大情形、存在不适用项目实际情况的情形等)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供应商具有完善的培训方案，对配送、管理等人员进行专业化培训，有完善的服务业务培训管理制度。 方案全面、合理、规范，可操作性强得 5分； 方案比较合理，可操作性较强得 3 分； 方案基本合理，有一定的可操作性得 1 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评审内容：①产品食品安全售后服务保障措施；②产品食品质量售后服务保障措施；③售后服务人员配置。评审依据：每一项内容描述详细，切实可行符合项目实际内容得2分，①-③项合计得6分。 方案①-③项每一项包含内容有缺陷的扣 1 分； 方案①-③项任意一项缺项扣 2 分，扣完为止。(缺陷是指:内容不详细具体、条理不清晰、描述过于简单、与项目特点不匹配、凭空编造、逻辑漏洞、常识性错误、不可能实现的夸大情形、存在不适用项目实际情况的情形等)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运输能力</w:t>
            </w:r>
          </w:p>
        </w:tc>
        <w:tc>
          <w:tcPr>
            <w:tcW w:type="dxa" w:w="2492"/>
          </w:tcPr>
          <w:p>
            <w:pPr>
              <w:pStyle w:val="null3"/>
            </w:pPr>
            <w:r>
              <w:rPr>
                <w:rFonts w:ascii="仿宋_GB2312" w:hAnsi="仿宋_GB2312" w:cs="仿宋_GB2312" w:eastAsia="仿宋_GB2312"/>
              </w:rPr>
              <w:t>供应商提供食品配送保障措施。具备完善的配送设备及车辆运输情况配备（包括但不限于车辆类型、数量、用途、配置说明、保温保鲜条件、使用年限、车况等）：保障措施完善、运输车辆配备科学合理得3分；保障措施基本完善、运输车辆配备基本科学合理得2分； 保障措施较粗略、运输车辆配备不科学、不合理得1分。未提供不得分。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供应商针对本项目制定突发事件处理方案（包括①针对恶劣天气影响、②问题食材更换等特殊情况、③针对运输车辆临时故、④原定配送人员缺勤）评审依据:每一项服务方案及包含内容全面、详细完全满足项目需求且有利于项目实施得 3 分，①-④项合计得 12分； 方案①-④项每一项单项方案内容不够完整、思路不够明晰合理、针对性相对差弱扣1分； 方案①-④项每一项包含内容有缺陷的扣2分； 方案①-④项任意一项缺项扣3 分，扣完为止。 (缺陷是指:内容不详细具体、条理不清晰、描述过于简单、与项目特点不匹配、凭空编造、逻辑漏洞、常识性错误、不可能实现的夸大情形、存在不适用项目实际情况的情形等)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的实际情况提出合理化建议，分别从合理性、针对性、可行性等方面进行综合比较。建议科学合理、可行性强，得3分；建议可行性一般，针对性一般得2分；建议可行性差，无针对性得1分。未提供或不适用于本项目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评审内容：①为本项目配备的服务团队人员充足、人员配备结构合理；②拟派项目负责人及其他人员相关工作经验丰富。 评审依据：每一项内容描述详细，切实可行符合项目实际内容得1分，①-②项合计得2分。内容①-②项每一项包含内容有缺陷的扣0.5分； 内容①-②项任意一项缺项扣 1分，扣完为止。(缺陷是指:内容不详细具体、条理不清晰、描述过于简单、与项目特点不匹配、凭空编造、逻辑漏洞、常识性错误、不可能实现的夸大情形、存在不适用项目实际情况的情形等)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供应商提供近三年类似项目业绩，每提供一项得0.5分，最高得1分。业绩证明（以合同签订时间为准，供应商应在投标文件中提供业绩合同扫描件）</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参与详细评审且价格下浮率最高的价格分为30分，（1-最高下浮率）作为投标基准价。其他供应商的价格分按照下列公式计算：投标报价得分=（投标基准价）/（1-投标报价））×30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