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版本号：SXHT-(CS)2025060220250630001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网络交易监测服务项目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SXHT-(CS)20250602</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网络交易监测服务项目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SXHT-(CS)20250602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网络交易监测服务项目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陕西省市场监督管理局网络交易监测服务项目,具体详见磋商文件。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采购包1（网络交易监测服务）：属于专门面向小微企业采购。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4、社会保障资金缴纳证明：提供2024年12月至今已缴存的一个月的社会保障资金缴存单据或社保机构开具的社会保险参保缴费情况证明，依法不需要缴纳社会保障资金的投标单位应提供相关文件证明；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5、税收缴纳证明：提供2024年12月至今已缴纳的至少一个月的纳税证明或完税证明，依法免税的单位应提供相关证明材料；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8、承诺函：提供具有履行服务合同所必需的专业技术能力的承诺；</w:t>
      </w:r>
    </w:p>
    <w:p>
      <w:pPr>
        <w:pStyle w:val="null3"/>
      </w:pPr>
      <w:r>
        <w:rPr>
          <w:rFonts w:ascii="仿宋_GB2312" w:hAnsi="仿宋_GB2312" w:cs="仿宋_GB2312" w:eastAsia="仿宋_GB2312"/>
        </w:rPr>
        <w:t>9、控股、管理关系：控股、管理关系：单位负责人为同一人或者存在控股、管理关系的不同供应商，不得同时参加本项目采购活动；</w:t>
      </w:r>
    </w:p>
    <w:p>
      <w:pPr>
        <w:pStyle w:val="null3"/>
      </w:pPr>
      <w:r>
        <w:rPr>
          <w:rFonts w:ascii="仿宋_GB2312" w:hAnsi="仿宋_GB2312" w:cs="仿宋_GB2312" w:eastAsia="仿宋_GB2312"/>
        </w:rPr>
        <w:t>10、本项目专门面向小微企业采购。：本项目专门面向小微企业采购。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029-86138229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联系人：田工、李工</w:t>
      </w:r>
    </w:p>
    <w:p>
      <w:pPr>
        <w:pStyle w:val="null3"/>
      </w:pPr>
      <w:r>
        <w:rPr>
          <w:rFonts w:ascii="仿宋_GB2312" w:hAnsi="仿宋_GB2312" w:cs="仿宋_GB2312" w:eastAsia="仿宋_GB2312"/>
        </w:rPr>
        <w:t>联系电话：029-85266006</w:t>
      </w:r>
    </w:p>
    <w:p>
      <w:pPr>
        <w:pStyle w:val="null3"/>
      </w:pPr>
      <w:r>
        <w:rPr>
          <w:rFonts w:ascii="仿宋_GB2312" w:hAnsi="仿宋_GB2312" w:cs="仿宋_GB2312" w:eastAsia="仿宋_GB2312"/>
        </w:rPr>
        <w:t>地址：西安市碑林区建西街 123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陕西省市场监督管理局网络交易监测服务项目,具体详见磋商文件。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网络交易监测服务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标的名称：网络交易监测服务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根据总局和省市场监管局开展的各类专项行动内容，对注册地在陕西省的网络交易平台及经营性商品交易网站、直播电商、第三方网络交易平台开设的网店、移动</w:t>
            </w:r>
            <w:r>
              <w:rPr>
                <w:rFonts w:ascii="仿宋_GB2312" w:hAnsi="仿宋_GB2312" w:cs="仿宋_GB2312" w:eastAsia="仿宋_GB2312"/>
                <w:sz w:val="24"/>
              </w:rPr>
              <w:t>app和社交电商平台上开设的网店、公众服务号、小程序等开展专项任务监测，监测次数不限，视任务情况而定，提供监测报告，推送违法线索并对线索进行固证。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在线客服：通过陕西省政府采购网-在线客服进行咨询 技术服务电话：029-96702转6、029-68936460、029-68936462、029-68936469 CA及签章服务：通过陕西省政府采购网-服务专区进行查询</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2025年10月至12月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符合国家验收规范的合格标准。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签订合同项目整体内容完成组织验收通过后，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1.请将采购代理服务费汇至下列指定账户：户名：陕西海堂项目管理咨询有限公司 开户银行：中国银行股份有限公司西安雁塔路支行 账号：103675480567 2.供应商需要在线提交所有通过电子化交易平台实施的政府采购项目的投标文件，同时，线下提交投标文件正本壹份、副本贰套。 线下提交投标文件地点：于开标截止时间前。 线下提交投标文件地点：西安市建西街123号三楼第一会议室。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上传-授权书.docx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无重大违法记录声明：参加政府采购活动前3年内经营活动中没有重大违法记录声明；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本项目专门面向小微企业采购。</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响应文件的语言、计量单位、报价货币是否满足磋商文件要求；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磋商有效期是否达到磋商文件要求；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是否符合法律、法规和磋商文件中规定的其他实质性要求。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的服务内容从数据监测服务、定向监测服务、专项监测服务到网络交易分析报告，要求服务思路、原则、特点等需求理解透彻，针对本项目制定规范化的服务方案，贴合性强，设计合理、架构完整、层次清楚。1.服务方案及主要技术措施合理、针对性强、架构清晰完整，计10分； 2.服务方案及主要技术措施较合理、针对性较强、架构比较清晰完整，计8分； 3.服务方案及主要技术措施基本合理、针对性一般、架构基本清晰，计6分； 4.服务方案及主要技术措施具有合理性但针对性不强、架构不够清晰，计4分； 5.服务方案及主要技术措施合理性及针对性较差、架构模糊，计2分； 6.未提供方案计0分。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服务管理体系</w:t>
            </w:r>
          </w:p>
        </w:tc>
        <w:tc>
          <w:tcPr>
            <w:tcW w:type="dxa" w:w="2492"/>
          </w:tcPr>
          <w:p>
            <w:pPr>
              <w:pStyle w:val="null3"/>
            </w:pPr>
            <w:r>
              <w:rPr>
                <w:rFonts w:ascii="仿宋_GB2312" w:hAnsi="仿宋_GB2312" w:cs="仿宋_GB2312" w:eastAsia="仿宋_GB2312"/>
              </w:rPr>
              <w:t>供应商针对本项目建立有完善的服务管理体系，提供强大的管理工具与手段，能够确保平台运行安全可靠、稳定，性能充分发挥。1.针对本项目建立的服务管理体系，贴近本项目，内容详实，完全满足采购需求，计10分；2.针对本项目建立的服务管理体系，比较贴近本项目，内容较详实，满足采购需求，计8分；3.针对本项目建立的服务管理体系，基本贴近本项目，内容基本涵盖，基本满足采购需求，计6分；4.针对本项目建立的服务管理体系，部分贴近本项目，内容不全，较难满足采购需求，计4分；5.针对本项目建立的服务管理体系，不符合本项目，内容严重缺失，不满足采购需求，计2分；6.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技术保证措施</w:t>
            </w:r>
          </w:p>
        </w:tc>
        <w:tc>
          <w:tcPr>
            <w:tcW w:type="dxa" w:w="2492"/>
          </w:tcPr>
          <w:p>
            <w:pPr>
              <w:pStyle w:val="null3"/>
            </w:pPr>
            <w:r>
              <w:rPr>
                <w:rFonts w:ascii="仿宋_GB2312" w:hAnsi="仿宋_GB2312" w:cs="仿宋_GB2312" w:eastAsia="仿宋_GB2312"/>
              </w:rPr>
              <w:t>供应商针对本项目制定完善的技术保证措施，数据的获取手段（含搜索引擎、第三方平台数据获取技术）、数据分析方法及模型、数据安全措施、隐私保护措施。 1.技术保证措施完整、合理、针对性强、架构清晰完整，计20分； 2.技术保证措施较合理、针对性较强、架构比较清晰完整，计16分； 3.技术保证措施基本合理、针对性一般、架构基本清晰，计12分； 4.技术保证措施内容不全，针对性较差、架构模糊，计8分；5.技术保证措施内容欠缺，针对性差、难以满足采购需求，计4分；6.未提供计0分。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有明确的服务保障承诺，在编制网络交易分析报告至提交的过程中符合国家及采购人要求，并提供服务保障承诺和保证措施。1.服务保障措施紧扣项目实际、可实施性强，能够保证项目完成，计6分；2.服务保障措施服务保障措施基本满足项目实际、可实施性一般，基本保证项目完成，计4分；3.服务保障措施不满足项目实际、可实施性差，难以保证项目完成，计2分；4.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针对本项目提供具体的合理化建议。 1.建议科学合理、具有针对性、切实可行，服务承诺内容完整科学，符合项目实际及需求，计6分； 2.建议承诺内容一般，还需完善，计4分； 3.内容空洞、无针对性，计2分； 4.未提供计0分。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供应商针对本项目人员配备投入情况，项目团队有明确的组织形式、人员结构，工作分工明确。 1.本项目中人员配置科学合理、人员配置充足，具有专业技术能力，针对性强，能够很好的满足采购需求，计10分；2.本项目中人员配置比较科学合理、人员配置比较充足，具有一定专业技术能力，有针对性，能够满足采购需求，计8分；3.本项目中人员配置基本科学合理、人员配置基本充足，基本具有专业技术能力，针对性一般，基本能够满足采购需求，计6分；4.本项目中人员配置一般、人员配置一般，专业技术能力较差，针对性差，较难能够满足采购需求，计4分； 5.本项目中人员配置基本不符合本项目、人员配置不足，不具备具有专业技术能力，无针对性，不满足采购需求，计2分；6.未提供的不计分。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监测服务制定完善、详细、合理的培训方案，为监测服务提供了强大的培训支撑，满足用户要求。1.培训方案全面完善、切实可行、针对性强，完全满足项目采购要求，计6分；2.培训方案较完善、可行、有针对性，满足项目采购要求，计4分；3.培训方案有缺陷、难以施行、五针对性，难以满足项目采购要求，计2分；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供应商针对本项目制定售后服务方案，包括服务体系和服务内容、故障解决 方案、响应时间和专业技术人员保障等。1.售后服务专门针对本项目，内容完整可行，保障充足，符合项目实际及需求，计6分；2.售后服务针对本项目，内容基本涵盖具有一定可行性，基本符合项目实际及需求，计4分；3.售后服务无针对性，内容不全，没有可行性，难以满足项目需求，计2分；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针对本项目获悉的采购人相关信息制定完整可行的保密措施，具备完善的内部保密制度。1.保密方案全面完善，承诺内容切实可行、有较强针对性，完全满足项目采购要求，及6分；2.保密方案较为全面完善，承诺内容较为切实可行，较有针对性，基本满足项目采购要求，得4分； 3.保密方案一般，应对措施一般，针对性一般，基本满足项目采购要求但还需完善得2分；4.未提供不得分。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供应商须提供2022年6月至今类似项目业绩（以合同或中标通知书为准），每提供1个得2分，最高得10分。 注：响应文件中提供合同或中标通知书复印件并加盖公章。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满足磋商文件要求且最终报价最低的供应商的价格为磋商基准价，其价格分为满分。其他供应商的价格分统一按照下列公式计算：磋商报价得分=（磋商基准价/最终磋商报价）×价格权值×100% 符合磋商文件规定的小微企业、监狱企业、残疾人福利企业优惠条件的供应商，价格给予10%的扣除，用扣除后的价格参与评审。注：计算分数时四舍五入取小数点后两位。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详见附件：上传-授权书.docx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