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版本号：HBZB2025-11620250627001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2025年金保工程运行维护项目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HBZB2025-116</w:t>
      </w:r>
      <w:r>
        <w:br/>
      </w:r>
      <w:r>
        <w:br/>
      </w:r>
      <w:r>
        <w:br/>
      </w:r>
    </w:p>
    <w:p>
      <w:pPr>
        <w:pStyle w:val="null3"/>
        <w:jc w:val="center"/>
        <w:outlineLvl w:val="2"/>
      </w:pPr>
      <w:r>
        <w:rPr>
          <w:rFonts w:ascii="仿宋_GB2312" w:hAnsi="仿宋_GB2312" w:cs="仿宋_GB2312" w:eastAsia="仿宋_GB2312"/>
          <w:sz w:val="28"/>
          <w:b/>
        </w:rPr>
        <w:t>陕西省人力资源和社会保障厅机关</w:t>
      </w:r>
    </w:p>
    <w:p>
      <w:pPr>
        <w:pStyle w:val="null3"/>
        <w:jc w:val="center"/>
        <w:outlineLvl w:val="2"/>
      </w:pPr>
      <w:r>
        <w:rPr>
          <w:rFonts w:ascii="仿宋_GB2312" w:hAnsi="仿宋_GB2312" w:cs="仿宋_GB2312" w:eastAsia="仿宋_GB2312"/>
          <w:sz w:val="28"/>
          <w:b/>
        </w:rPr>
        <w:t>陕西华博项目管理有限公司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2025年06月27日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陕西华博项目管理有限公司</w:t>
      </w:r>
      <w:r>
        <w:rPr>
          <w:rFonts w:ascii="仿宋_GB2312" w:hAnsi="仿宋_GB2312" w:cs="仿宋_GB2312" w:eastAsia="仿宋_GB2312"/>
        </w:rPr>
        <w:t>（以下简称“代理机构”）受</w:t>
      </w:r>
      <w:r>
        <w:rPr>
          <w:rFonts w:ascii="仿宋_GB2312" w:hAnsi="仿宋_GB2312" w:cs="仿宋_GB2312" w:eastAsia="仿宋_GB2312"/>
        </w:rPr>
        <w:t>陕西省人力资源和社会保障厅机关</w:t>
      </w:r>
      <w:r>
        <w:rPr>
          <w:rFonts w:ascii="仿宋_GB2312" w:hAnsi="仿宋_GB2312" w:cs="仿宋_GB2312" w:eastAsia="仿宋_GB2312"/>
        </w:rPr>
        <w:t>委托，拟对</w:t>
      </w:r>
      <w:r>
        <w:rPr>
          <w:rFonts w:ascii="仿宋_GB2312" w:hAnsi="仿宋_GB2312" w:cs="仿宋_GB2312" w:eastAsia="仿宋_GB2312"/>
        </w:rPr>
        <w:t>2025年金保工程运行维护项目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HBZB2025-116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2025年金保工程运行维护项目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2025年陕西省金保工程系统运行维护项目,采购包1：应用系统维护；采购包2：线路租用。</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的2023年度或2024年度的财务报告（包括“四表一注”，即资产负债表、利润表、现金流量表、所有者权益变动表及其附注，成立时间至提交投标文件截止时间不足一年的可提供成立后任意时段的资产负债表），或提交投标文件递交截止时间前一年内银行出具的资信证明。（以上两种形式的资料提供任何一种即可）</w:t>
      </w:r>
    </w:p>
    <w:p>
      <w:pPr>
        <w:pStyle w:val="null3"/>
      </w:pPr>
      <w:r>
        <w:rPr>
          <w:rFonts w:ascii="仿宋_GB2312" w:hAnsi="仿宋_GB2312" w:cs="仿宋_GB2312" w:eastAsia="仿宋_GB2312"/>
        </w:rPr>
        <w:t>3、税收缴纳证明：提供2024年7月至2025年7月已缴纳至少一个月的依法缴纳税款的相关凭据（时间以税款所属日期为准、税种须包含增值税或企业所得税），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4、社会保障资金缴存证明：提供2024年7月至2025年7月已缴存的至少一个月的社会保障资金缴存单据或社保机构开具的社会保险参保缴费情况证明，依法不需要缴纳社会保障资金的单位应提供相关证明材料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的2023年度或2024年度的财务报告（包括“四表一注”，即资产负债表、利润表、现金流量表、所有者权益变动表及其附注，成立时间至提交投标文件截止时间不足一年的可提供成立后任意时段的资产负债表），或提交投标文件递交截止时间前一年内银行出具的资信证明。（以上两种形式的资料提供任何一种即可）</w:t>
      </w:r>
    </w:p>
    <w:p>
      <w:pPr>
        <w:pStyle w:val="null3"/>
      </w:pPr>
      <w:r>
        <w:rPr>
          <w:rFonts w:ascii="仿宋_GB2312" w:hAnsi="仿宋_GB2312" w:cs="仿宋_GB2312" w:eastAsia="仿宋_GB2312"/>
        </w:rPr>
        <w:t>3、税收缴纳证明：提供2024年7月至2025年7月已缴纳至少一个月的依法缴纳税款的相关凭据（时间以税款所属日期为准、税种须包含增值税或企业所得税），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4、社会保障资金缴存证明：提供2024年7月至2025年7月已缴存的至少一个月的社会保障资金缴存单据或社保机构开具的社会保险参保缴费情况证明，依法不需要缴纳社会保障资金的单位应提供相关证明材料。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陕西省人力资源和社会保障厅机关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西安市碑林区建设东路3号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029-85531215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陕西华博项目管理有限公司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陕西省西安市市本级陕西省西安市经济技术开发区凤城十一路文景商务广场 C座5层30502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任向梅 曹军 马伟丽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029-86100880 15388656827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采购包1：6,300,000.00元</w:t>
            </w:r>
          </w:p>
          <w:p>
            <w:pPr>
              <w:pStyle w:val="null3"/>
            </w:pPr>
            <w:r>
              <w:rPr>
                <w:rFonts w:ascii="仿宋_GB2312" w:hAnsi="仿宋_GB2312" w:cs="仿宋_GB2312" w:eastAsia="仿宋_GB2312"/>
              </w:rPr>
              <w:t>采购包2：1,700,000.00元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采购包1保证金金额：120,000.00元</w:t>
            </w:r>
          </w:p>
          <w:p>
            <w:pPr>
              <w:pStyle w:val="null3"/>
            </w:pPr>
            <w:r>
              <w:rPr>
                <w:rFonts w:ascii="仿宋_GB2312" w:hAnsi="仿宋_GB2312" w:cs="仿宋_GB2312" w:eastAsia="仿宋_GB2312"/>
              </w:rPr>
              <w:t>采购包2保证金金额：30,000.00元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开户名称：陕西华博项目管理有限公司</w:t>
            </w:r>
          </w:p>
          <w:p>
            <w:pPr>
              <w:pStyle w:val="null3"/>
            </w:pPr>
            <w:r>
              <w:rPr>
                <w:rFonts w:ascii="仿宋_GB2312" w:hAnsi="仿宋_GB2312" w:cs="仿宋_GB2312" w:eastAsia="仿宋_GB2312"/>
              </w:rPr>
              <w:t>开户银行：中国建设银行股份有限公司西安高新技术产业开发区支行</w:t>
            </w:r>
          </w:p>
          <w:p>
            <w:pPr>
              <w:pStyle w:val="null3"/>
            </w:pPr>
            <w:r>
              <w:rPr>
                <w:rFonts w:ascii="仿宋_GB2312" w:hAnsi="仿宋_GB2312" w:cs="仿宋_GB2312" w:eastAsia="仿宋_GB2312"/>
              </w:rPr>
              <w:t>银行账号：61050192090000003265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代理服务费收费标准：招标代理服务费由中标人支付，参照国家计委颁布的发改办价格[2003]857号文件的规定标准收取。本项目代理服务费按服务计取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陕西省人力资源和社会保障厅机关</w:t>
      </w:r>
      <w:r>
        <w:rPr>
          <w:rFonts w:ascii="仿宋_GB2312" w:hAnsi="仿宋_GB2312" w:cs="仿宋_GB2312" w:eastAsia="仿宋_GB2312"/>
        </w:rPr>
        <w:t>和</w:t>
      </w:r>
      <w:r>
        <w:rPr>
          <w:rFonts w:ascii="仿宋_GB2312" w:hAnsi="仿宋_GB2312" w:cs="仿宋_GB2312" w:eastAsia="仿宋_GB2312"/>
        </w:rPr>
        <w:t>陕西华博项目管理有限公司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陕西省人力资源和社会保障厅机关</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陕西华博项目管理有限公司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陕西省人力资源和社会保障厅机关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根据招标文件、投标文件要求及合同约定执行。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陕西华博项目管理有限公司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 任向梅 曹军 马伟丽</w:t>
      </w:r>
    </w:p>
    <w:p>
      <w:pPr>
        <w:pStyle w:val="null3"/>
      </w:pPr>
      <w:r>
        <w:rPr>
          <w:rFonts w:ascii="仿宋_GB2312" w:hAnsi="仿宋_GB2312" w:cs="仿宋_GB2312" w:eastAsia="仿宋_GB2312"/>
        </w:rPr>
        <w:t>联系电话：029-86100880 15388656827</w:t>
      </w:r>
    </w:p>
    <w:p>
      <w:pPr>
        <w:pStyle w:val="null3"/>
      </w:pPr>
      <w:r>
        <w:rPr>
          <w:rFonts w:ascii="仿宋_GB2312" w:hAnsi="仿宋_GB2312" w:cs="仿宋_GB2312" w:eastAsia="仿宋_GB2312"/>
        </w:rPr>
        <w:t>地址：陕西省西安市经济技术开发区凤城十一路文景商务广场 C座5层30502号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2025年陕西省金保工程系统运行维护项目,采购包1：应用系统维护；采购包2：线路租用。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6,300,000.00</w:t>
      </w:r>
    </w:p>
    <w:p>
      <w:pPr>
        <w:pStyle w:val="null3"/>
      </w:pPr>
      <w:r>
        <w:rPr>
          <w:rFonts w:ascii="仿宋_GB2312" w:hAnsi="仿宋_GB2312" w:cs="仿宋_GB2312" w:eastAsia="仿宋_GB2312"/>
        </w:rPr>
        <w:t>采购包最高限价（元）: 6,300,000.00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6300000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1,700,000.00</w:t>
      </w:r>
    </w:p>
    <w:p>
      <w:pPr>
        <w:pStyle w:val="null3"/>
      </w:pPr>
      <w:r>
        <w:rPr>
          <w:rFonts w:ascii="仿宋_GB2312" w:hAnsi="仿宋_GB2312" w:cs="仿宋_GB2312" w:eastAsia="仿宋_GB2312"/>
        </w:rPr>
        <w:t>采购包最高限价（元）: 1,700,000.00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1700000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标的名称：6300000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40" w:after="240"/>
              <w:jc w:val="both"/>
              <w:outlineLvl w:val="1"/>
            </w:pPr>
            <w:r>
              <w:rPr>
                <w:rFonts w:ascii="仿宋_GB2312" w:hAnsi="仿宋_GB2312" w:cs="仿宋_GB2312" w:eastAsia="仿宋_GB2312"/>
                <w:sz w:val="28"/>
                <w:b/>
              </w:rPr>
              <w:t>一、项目概述</w:t>
            </w:r>
          </w:p>
          <w:p>
            <w:pPr>
              <w:pStyle w:val="null3"/>
              <w:spacing w:before="120" w:after="120"/>
              <w:jc w:val="left"/>
              <w:outlineLvl w:val="2"/>
            </w:pPr>
            <w:r>
              <w:rPr>
                <w:rFonts w:ascii="仿宋_GB2312" w:hAnsi="仿宋_GB2312" w:cs="仿宋_GB2312" w:eastAsia="仿宋_GB2312"/>
                <w:sz w:val="24"/>
                <w:b/>
              </w:rPr>
              <w:t>1.</w:t>
            </w:r>
            <w:r>
              <w:rPr>
                <w:rFonts w:ascii="仿宋_GB2312" w:hAnsi="仿宋_GB2312" w:cs="仿宋_GB2312" w:eastAsia="仿宋_GB2312"/>
                <w:sz w:val="24"/>
                <w:b/>
              </w:rPr>
              <w:t>项目背景</w:t>
            </w:r>
          </w:p>
          <w:p>
            <w:pPr>
              <w:pStyle w:val="null3"/>
              <w:ind w:firstLine="400"/>
              <w:jc w:val="both"/>
            </w:pPr>
            <w:r>
              <w:rPr>
                <w:rFonts w:ascii="仿宋_GB2312" w:hAnsi="仿宋_GB2312" w:cs="仿宋_GB2312" w:eastAsia="仿宋_GB2312"/>
                <w:sz w:val="20"/>
              </w:rPr>
              <w:t>2003年12月，原劳动和社会保障部批准了原陕西省劳动和社会保障厅《陕西省金保工程一期省级建设项目可行性研究报告》；2004年11月，陕西省发展和改革委员会批复了《陕西省金保工程一期项目可行性研究报告》。经多方筹措建设资金，原陕西省劳动和社会保障厅于2005年8月进行了项目整体的招标，开始了项目的建设工作。由于资金分步落实，陕西省金保工程一期项目分两个阶段建设，并分别于2008年7月、2009年10月完成了陕西省金保工程一期第一阶段和第二阶段的建设和验收工作。</w:t>
            </w:r>
          </w:p>
          <w:p>
            <w:pPr>
              <w:pStyle w:val="null3"/>
              <w:ind w:firstLine="400"/>
              <w:jc w:val="both"/>
            </w:pPr>
            <w:r>
              <w:rPr>
                <w:rFonts w:ascii="仿宋_GB2312" w:hAnsi="仿宋_GB2312" w:cs="仿宋_GB2312" w:eastAsia="仿宋_GB2312"/>
                <w:sz w:val="20"/>
              </w:rPr>
              <w:t>陕西省金保工程一期项目建设完成后，建立了省级人力资源和社会保障数据中心，实现了部、省、市三级联网，完成了包括社会保险核心平台二版本地化软件全省统一业务应用软件，全面实现了业务经办的全程信息化，实现了养老保险关系省内异地转移、省内跨市异地离退休人员业务经办和管理服务等多项业务经办信息化创新，达到了业务经办流程规范，业务操作标准统一，岗位设置相互制衡，基金监管事中进行，提高了经办工作效率，提升了管理服务水平，为政府宏观决策提供了有力的技术保障。</w:t>
            </w:r>
          </w:p>
          <w:p>
            <w:pPr>
              <w:pStyle w:val="null3"/>
              <w:spacing w:before="120" w:after="120"/>
              <w:jc w:val="left"/>
              <w:outlineLvl w:val="2"/>
            </w:pPr>
            <w:r>
              <w:rPr>
                <w:rFonts w:ascii="仿宋_GB2312" w:hAnsi="仿宋_GB2312" w:cs="仿宋_GB2312" w:eastAsia="仿宋_GB2312"/>
                <w:sz w:val="24"/>
                <w:b/>
              </w:rPr>
              <w:t>2.</w:t>
            </w:r>
            <w:r>
              <w:rPr>
                <w:rFonts w:ascii="仿宋_GB2312" w:hAnsi="仿宋_GB2312" w:cs="仿宋_GB2312" w:eastAsia="仿宋_GB2312"/>
                <w:sz w:val="24"/>
                <w:b/>
              </w:rPr>
              <w:t>业务规模</w:t>
            </w:r>
          </w:p>
          <w:p>
            <w:pPr>
              <w:pStyle w:val="null3"/>
            </w:pPr>
            <w:r>
              <w:rPr>
                <w:rFonts w:ascii="仿宋_GB2312" w:hAnsi="仿宋_GB2312" w:cs="仿宋_GB2312" w:eastAsia="仿宋_GB2312"/>
                <w:sz w:val="20"/>
              </w:rPr>
              <w:t>截至目前，陕西省全年参加城镇职工养老保险人数1202.69万人；参加城乡居民养老保险人数1789.93万人；陕西社会保险APP注册用户超过2200万人，日活跃量超过30万次。</w:t>
            </w:r>
          </w:p>
          <w:p>
            <w:pPr>
              <w:pStyle w:val="null3"/>
              <w:spacing w:before="120" w:after="120"/>
              <w:jc w:val="left"/>
              <w:outlineLvl w:val="2"/>
            </w:pPr>
            <w:r>
              <w:rPr>
                <w:rFonts w:ascii="仿宋_GB2312" w:hAnsi="仿宋_GB2312" w:cs="仿宋_GB2312" w:eastAsia="仿宋_GB2312"/>
                <w:sz w:val="24"/>
                <w:b/>
              </w:rPr>
              <w:t>3.</w:t>
            </w:r>
            <w:r>
              <w:rPr>
                <w:rFonts w:ascii="仿宋_GB2312" w:hAnsi="仿宋_GB2312" w:cs="仿宋_GB2312" w:eastAsia="仿宋_GB2312"/>
                <w:sz w:val="24"/>
                <w:b/>
              </w:rPr>
              <w:t>系统现状</w:t>
            </w:r>
          </w:p>
          <w:p>
            <w:pPr>
              <w:pStyle w:val="null3"/>
              <w:ind w:firstLine="400"/>
              <w:jc w:val="both"/>
            </w:pPr>
            <w:r>
              <w:rPr>
                <w:rFonts w:ascii="仿宋_GB2312" w:hAnsi="仿宋_GB2312" w:cs="仿宋_GB2312" w:eastAsia="仿宋_GB2312"/>
                <w:sz w:val="20"/>
              </w:rPr>
              <w:t>全省共有11市1区、109个区县、6000多个街道社区、33716多个乡镇（村），已形成部、省、市、区县、社区、乡镇（村）五级网络架构。全省接入金保工程业务专网的机构约464个，其中2M SDH线路52条、VPDN线路114条，MPLS VPN线路120条，各级机构接入省数据中心的业务应用终端达到4000多台，高峰并发人数达到350人，日均处理业务交易超过10万笔。数据已达44.8亿条，存储容量累计已达19TB。</w:t>
            </w:r>
          </w:p>
          <w:p>
            <w:pPr>
              <w:pStyle w:val="null3"/>
              <w:spacing w:before="285" w:after="285"/>
              <w:jc w:val="both"/>
              <w:outlineLvl w:val="3"/>
            </w:pPr>
            <w:r>
              <w:rPr>
                <w:rFonts w:ascii="仿宋_GB2312" w:hAnsi="仿宋_GB2312" w:cs="仿宋_GB2312" w:eastAsia="仿宋_GB2312"/>
                <w:sz w:val="20"/>
                <w:b/>
              </w:rPr>
              <w:t>3.</w:t>
            </w:r>
            <w:r>
              <w:rPr>
                <w:rFonts w:ascii="仿宋_GB2312" w:hAnsi="仿宋_GB2312" w:cs="仿宋_GB2312" w:eastAsia="仿宋_GB2312"/>
                <w:sz w:val="20"/>
                <w:b/>
              </w:rPr>
              <w:t>1</w:t>
            </w:r>
            <w:r>
              <w:rPr>
                <w:rFonts w:ascii="仿宋_GB2312" w:hAnsi="仿宋_GB2312" w:cs="仿宋_GB2312" w:eastAsia="仿宋_GB2312"/>
                <w:sz w:val="20"/>
                <w:b/>
              </w:rPr>
              <w:t>陕西省城乡居民养老保险管理信息系统</w:t>
            </w:r>
          </w:p>
          <w:p>
            <w:pPr>
              <w:pStyle w:val="null3"/>
              <w:ind w:firstLine="400"/>
              <w:jc w:val="left"/>
            </w:pPr>
            <w:r>
              <w:rPr>
                <w:rFonts w:ascii="仿宋_GB2312" w:hAnsi="仿宋_GB2312" w:cs="仿宋_GB2312" w:eastAsia="仿宋_GB2312"/>
                <w:sz w:val="20"/>
              </w:rPr>
              <w:t>陕西省城乡居民社会养老保险管理系统在全省11个市、116个区县城乡居民经办中心，1655个乡镇保障所投入使用。软件采用应用与数据大集中的方式，部署在省数据中心。</w:t>
            </w:r>
          </w:p>
          <w:p>
            <w:pPr>
              <w:pStyle w:val="null3"/>
              <w:spacing w:before="285" w:after="285"/>
              <w:jc w:val="both"/>
              <w:outlineLvl w:val="3"/>
            </w:pPr>
            <w:r>
              <w:rPr>
                <w:rFonts w:ascii="仿宋_GB2312" w:hAnsi="仿宋_GB2312" w:cs="仿宋_GB2312" w:eastAsia="仿宋_GB2312"/>
                <w:sz w:val="20"/>
                <w:b/>
              </w:rPr>
              <w:t>3.</w:t>
            </w:r>
            <w:r>
              <w:rPr>
                <w:rFonts w:ascii="仿宋_GB2312" w:hAnsi="仿宋_GB2312" w:cs="仿宋_GB2312" w:eastAsia="仿宋_GB2312"/>
                <w:sz w:val="20"/>
                <w:b/>
              </w:rPr>
              <w:t>2</w:t>
            </w:r>
            <w:r>
              <w:rPr>
                <w:rFonts w:ascii="仿宋_GB2312" w:hAnsi="仿宋_GB2312" w:cs="仿宋_GB2312" w:eastAsia="仿宋_GB2312"/>
                <w:sz w:val="20"/>
                <w:b/>
              </w:rPr>
              <w:t>陕西省城镇企业职工养老保险信息系统</w:t>
            </w:r>
          </w:p>
          <w:p>
            <w:pPr>
              <w:pStyle w:val="null3"/>
              <w:ind w:firstLine="400"/>
              <w:jc w:val="left"/>
            </w:pPr>
            <w:r>
              <w:rPr>
                <w:rFonts w:ascii="仿宋_GB2312" w:hAnsi="仿宋_GB2312" w:cs="仿宋_GB2312" w:eastAsia="仿宋_GB2312"/>
                <w:sz w:val="20"/>
              </w:rPr>
              <w:t>陕西省城镇职工养老保险管理系统包括核心系统和网上办事大厅系统，核心系统在全省11市1区，共计124个养老保险经办机构投入使用。主要包括业务受理、业务审批、业务经办、业务监管、决策支持等模块，涉及基础信息管理、参保关系管理、养老待遇管理、待遇发放管理、个人账户管理等共1030个功能。网上办事大厅系统为30多万企业提供互联网服务，主要包括基础信息管理、参保登记、变更登记、缴费申报、企业信息查询等功能，共140个功能。采用应用与数据大集中的方式，部署在省数据中心。</w:t>
            </w:r>
          </w:p>
          <w:p>
            <w:pPr>
              <w:pStyle w:val="null3"/>
              <w:spacing w:before="285" w:after="285"/>
              <w:jc w:val="both"/>
              <w:outlineLvl w:val="3"/>
            </w:pPr>
            <w:r>
              <w:rPr>
                <w:rFonts w:ascii="仿宋_GB2312" w:hAnsi="仿宋_GB2312" w:cs="仿宋_GB2312" w:eastAsia="仿宋_GB2312"/>
                <w:sz w:val="20"/>
                <w:b/>
              </w:rPr>
              <w:t>3.</w:t>
            </w:r>
            <w:r>
              <w:rPr>
                <w:rFonts w:ascii="仿宋_GB2312" w:hAnsi="仿宋_GB2312" w:cs="仿宋_GB2312" w:eastAsia="仿宋_GB2312"/>
                <w:sz w:val="20"/>
                <w:b/>
              </w:rPr>
              <w:t>3</w:t>
            </w:r>
            <w:r>
              <w:rPr>
                <w:rFonts w:ascii="仿宋_GB2312" w:hAnsi="仿宋_GB2312" w:cs="仿宋_GB2312" w:eastAsia="仿宋_GB2312"/>
                <w:sz w:val="20"/>
                <w:b/>
              </w:rPr>
              <w:t>人社部基金监管系统</w:t>
            </w:r>
          </w:p>
          <w:p>
            <w:pPr>
              <w:pStyle w:val="null3"/>
              <w:ind w:firstLine="400"/>
              <w:jc w:val="left"/>
            </w:pPr>
            <w:r>
              <w:rPr>
                <w:rFonts w:ascii="仿宋_GB2312" w:hAnsi="仿宋_GB2312" w:cs="仿宋_GB2312" w:eastAsia="仿宋_GB2312"/>
                <w:sz w:val="20"/>
              </w:rPr>
              <w:t>人社部基金监管系统采用应用与数据大集中的方式，部署在省数据中心，在全省11个市、116个区县及省一级的基金监管部门投入使用，本系统围绕社保基金潜在风险点，以监管预警、疑点分析、要情直报等功能为抓手，常态化开展非现场监督工作的重要技术工具，主要包括企业职工养老，城乡居民养老，机关事业养老，工伤保险，失业保险，多险综合，监督办公，系统管理等八大版块，以及预警提示、疑点分析、信息查询、核查处理、要情报告、公文收发等系统功能，全面支持社会保险基金监督管理工作。</w:t>
            </w:r>
          </w:p>
          <w:p>
            <w:pPr>
              <w:pStyle w:val="null3"/>
              <w:spacing w:before="285" w:after="285"/>
              <w:jc w:val="both"/>
              <w:outlineLvl w:val="3"/>
            </w:pPr>
            <w:r>
              <w:rPr>
                <w:rFonts w:ascii="仿宋_GB2312" w:hAnsi="仿宋_GB2312" w:cs="仿宋_GB2312" w:eastAsia="仿宋_GB2312"/>
                <w:sz w:val="20"/>
                <w:b/>
              </w:rPr>
              <w:t>3.</w:t>
            </w:r>
            <w:r>
              <w:rPr>
                <w:rFonts w:ascii="仿宋_GB2312" w:hAnsi="仿宋_GB2312" w:cs="仿宋_GB2312" w:eastAsia="仿宋_GB2312"/>
                <w:sz w:val="20"/>
                <w:b/>
              </w:rPr>
              <w:t>4</w:t>
            </w:r>
            <w:r>
              <w:rPr>
                <w:rFonts w:ascii="仿宋_GB2312" w:hAnsi="仿宋_GB2312" w:cs="仿宋_GB2312" w:eastAsia="仿宋_GB2312"/>
                <w:sz w:val="20"/>
                <w:b/>
              </w:rPr>
              <w:t>用友</w:t>
            </w:r>
            <w:r>
              <w:rPr>
                <w:rFonts w:ascii="仿宋_GB2312" w:hAnsi="仿宋_GB2312" w:cs="仿宋_GB2312" w:eastAsia="仿宋_GB2312"/>
                <w:sz w:val="20"/>
                <w:b/>
              </w:rPr>
              <w:t>A++</w:t>
            </w:r>
            <w:r>
              <w:rPr>
                <w:rFonts w:ascii="仿宋_GB2312" w:hAnsi="仿宋_GB2312" w:cs="仿宋_GB2312" w:eastAsia="仿宋_GB2312"/>
                <w:sz w:val="20"/>
                <w:b/>
              </w:rPr>
              <w:t>财务软件</w:t>
            </w:r>
          </w:p>
          <w:p>
            <w:pPr>
              <w:pStyle w:val="null3"/>
              <w:ind w:firstLine="400"/>
              <w:jc w:val="left"/>
            </w:pPr>
            <w:r>
              <w:rPr>
                <w:rFonts w:ascii="仿宋_GB2312" w:hAnsi="仿宋_GB2312" w:cs="仿宋_GB2312" w:eastAsia="仿宋_GB2312"/>
                <w:sz w:val="20"/>
              </w:rPr>
              <w:t>陕西省职工养老基金财务管控系统包括全省共计127家社保经办机构的基金财务的账务处理，出纳管理，电子报表管理，基金风险监控、一本账数据同步管理、业财一体化接口等服务。陕西省城乡居民养老基金财务管控系统包括全省127家社保经办机构的基金财务的账务处理、出纳管理、电子报表管理、基金风险监控、待遇发放、转移收支业务、社银接口管理等服务。陕西省机关养老基金财务管控系统包括全省125家社保经办机构的机关养老与职业年金基金财务的账务处理，出纳管理，电子报表管理，基金风险监控、一本账数据同步管理、业财一体化接口等服务。</w:t>
            </w:r>
          </w:p>
          <w:p>
            <w:pPr>
              <w:pStyle w:val="null3"/>
              <w:spacing w:before="285" w:after="285"/>
              <w:jc w:val="both"/>
              <w:outlineLvl w:val="3"/>
            </w:pPr>
            <w:r>
              <w:rPr>
                <w:rFonts w:ascii="仿宋_GB2312" w:hAnsi="仿宋_GB2312" w:cs="仿宋_GB2312" w:eastAsia="仿宋_GB2312"/>
                <w:sz w:val="20"/>
                <w:b/>
              </w:rPr>
              <w:t>3.</w:t>
            </w:r>
            <w:r>
              <w:rPr>
                <w:rFonts w:ascii="仿宋_GB2312" w:hAnsi="仿宋_GB2312" w:cs="仿宋_GB2312" w:eastAsia="仿宋_GB2312"/>
                <w:sz w:val="20"/>
                <w:b/>
              </w:rPr>
              <w:t>5</w:t>
            </w:r>
            <w:r>
              <w:rPr>
                <w:rFonts w:ascii="仿宋_GB2312" w:hAnsi="仿宋_GB2312" w:cs="仿宋_GB2312" w:eastAsia="仿宋_GB2312"/>
                <w:sz w:val="20"/>
                <w:b/>
              </w:rPr>
              <w:t>陕西社会保险</w:t>
            </w:r>
            <w:r>
              <w:rPr>
                <w:rFonts w:ascii="仿宋_GB2312" w:hAnsi="仿宋_GB2312" w:cs="仿宋_GB2312" w:eastAsia="仿宋_GB2312"/>
                <w:sz w:val="20"/>
                <w:b/>
              </w:rPr>
              <w:t>APP</w:t>
            </w:r>
          </w:p>
          <w:p>
            <w:pPr>
              <w:pStyle w:val="null3"/>
              <w:ind w:firstLine="400"/>
              <w:jc w:val="left"/>
            </w:pPr>
            <w:r>
              <w:rPr>
                <w:rFonts w:ascii="仿宋_GB2312" w:hAnsi="仿宋_GB2312" w:cs="仿宋_GB2312" w:eastAsia="仿宋_GB2312"/>
                <w:sz w:val="20"/>
              </w:rPr>
              <w:t>陕西社会保险APP包括个人版、单位版、机构版，共438个功能，分别为参保人、单位经办人员、经办机构工作人员提供养老、工伤、失业保险移动服务，个人版主要功能包括社会保险个人权益查询、业务办理、政策咨询服务、办事进度查询等服务；机构版主要提供社会保险参保、缴费申报、单位社会保险信息查询等服务；机构版主要提供社会保险业务受理、审批、经办服务、查询服务等功能。系统注册用户超过2200万，日活跃量超过30万。</w:t>
            </w:r>
          </w:p>
          <w:p>
            <w:pPr>
              <w:pStyle w:val="null3"/>
              <w:spacing w:before="240" w:after="240"/>
              <w:jc w:val="both"/>
              <w:outlineLvl w:val="1"/>
            </w:pPr>
            <w:r>
              <w:rPr>
                <w:rFonts w:ascii="仿宋_GB2312" w:hAnsi="仿宋_GB2312" w:cs="仿宋_GB2312" w:eastAsia="仿宋_GB2312"/>
                <w:sz w:val="28"/>
                <w:b/>
              </w:rPr>
              <w:t>二、项目建设原则</w:t>
            </w:r>
          </w:p>
          <w:p>
            <w:pPr>
              <w:pStyle w:val="null3"/>
              <w:ind w:firstLine="400"/>
              <w:jc w:val="both"/>
            </w:pPr>
            <w:r>
              <w:rPr>
                <w:rFonts w:ascii="仿宋_GB2312" w:hAnsi="仿宋_GB2312" w:cs="仿宋_GB2312" w:eastAsia="仿宋_GB2312"/>
                <w:sz w:val="20"/>
              </w:rPr>
              <w:t>遵循陕西省金保工程“统一标准、立足当前、长远规划” 的总体原则，本项目服务应遵循下述原则：</w:t>
            </w:r>
          </w:p>
          <w:p>
            <w:pPr>
              <w:pStyle w:val="null3"/>
              <w:spacing w:before="120" w:after="120"/>
              <w:jc w:val="left"/>
              <w:outlineLvl w:val="2"/>
            </w:pPr>
            <w:r>
              <w:rPr>
                <w:rFonts w:ascii="仿宋_GB2312" w:hAnsi="仿宋_GB2312" w:cs="仿宋_GB2312" w:eastAsia="仿宋_GB2312"/>
                <w:sz w:val="24"/>
                <w:b/>
              </w:rPr>
              <w:t>1.</w:t>
            </w:r>
            <w:r>
              <w:rPr>
                <w:rFonts w:ascii="仿宋_GB2312" w:hAnsi="仿宋_GB2312" w:cs="仿宋_GB2312" w:eastAsia="仿宋_GB2312"/>
                <w:sz w:val="24"/>
                <w:b/>
              </w:rPr>
              <w:t>统一标准</w:t>
            </w:r>
          </w:p>
          <w:p>
            <w:pPr>
              <w:pStyle w:val="null3"/>
              <w:ind w:firstLine="400"/>
              <w:jc w:val="both"/>
            </w:pPr>
            <w:r>
              <w:rPr>
                <w:rFonts w:ascii="仿宋_GB2312" w:hAnsi="仿宋_GB2312" w:cs="仿宋_GB2312" w:eastAsia="仿宋_GB2312"/>
                <w:sz w:val="20"/>
              </w:rPr>
              <w:t>系统运行维护服务应严格遵循国家、部省两级金保工程建设的标准规范，按照统一软件本地化建设要求及持续平稳、高效的运行要求，优化、完善全省统一软件和系统平台基础设施。</w:t>
            </w:r>
          </w:p>
          <w:p>
            <w:pPr>
              <w:pStyle w:val="null3"/>
              <w:spacing w:before="120" w:after="120"/>
              <w:jc w:val="left"/>
              <w:outlineLvl w:val="2"/>
            </w:pPr>
            <w:r>
              <w:rPr>
                <w:rFonts w:ascii="仿宋_GB2312" w:hAnsi="仿宋_GB2312" w:cs="仿宋_GB2312" w:eastAsia="仿宋_GB2312"/>
                <w:sz w:val="24"/>
                <w:b/>
              </w:rPr>
              <w:t>2.2</w:t>
            </w:r>
            <w:r>
              <w:rPr>
                <w:rFonts w:ascii="仿宋_GB2312" w:hAnsi="仿宋_GB2312" w:cs="仿宋_GB2312" w:eastAsia="仿宋_GB2312"/>
                <w:sz w:val="24"/>
                <w:b/>
              </w:rPr>
              <w:t>安全可靠</w:t>
            </w:r>
          </w:p>
          <w:p>
            <w:pPr>
              <w:pStyle w:val="null3"/>
              <w:ind w:firstLine="400"/>
              <w:jc w:val="both"/>
            </w:pPr>
            <w:r>
              <w:rPr>
                <w:rFonts w:ascii="仿宋_GB2312" w:hAnsi="仿宋_GB2312" w:cs="仿宋_GB2312" w:eastAsia="仿宋_GB2312"/>
                <w:sz w:val="20"/>
              </w:rPr>
              <w:t>人力资源和社会保障相关信息系统对整体安全性有非常高的要求，运行维护工作必须遵循并优化现有的安全体系，必须在现有安全体制下提出确保系统安全可靠的安全策略、措施和步骤。</w:t>
            </w:r>
          </w:p>
          <w:p>
            <w:pPr>
              <w:pStyle w:val="null3"/>
              <w:spacing w:before="120" w:after="120"/>
              <w:jc w:val="left"/>
              <w:outlineLvl w:val="2"/>
            </w:pPr>
            <w:r>
              <w:rPr>
                <w:rFonts w:ascii="仿宋_GB2312" w:hAnsi="仿宋_GB2312" w:cs="仿宋_GB2312" w:eastAsia="仿宋_GB2312"/>
                <w:sz w:val="24"/>
                <w:b/>
              </w:rPr>
              <w:t>2.3</w:t>
            </w:r>
            <w:r>
              <w:rPr>
                <w:rFonts w:ascii="仿宋_GB2312" w:hAnsi="仿宋_GB2312" w:cs="仿宋_GB2312" w:eastAsia="仿宋_GB2312"/>
                <w:sz w:val="24"/>
                <w:b/>
              </w:rPr>
              <w:t>不间断运行</w:t>
            </w:r>
          </w:p>
          <w:p>
            <w:pPr>
              <w:pStyle w:val="null3"/>
              <w:ind w:firstLine="400"/>
              <w:jc w:val="both"/>
            </w:pPr>
            <w:r>
              <w:rPr>
                <w:rFonts w:ascii="仿宋_GB2312" w:hAnsi="仿宋_GB2312" w:cs="仿宋_GB2312" w:eastAsia="仿宋_GB2312"/>
                <w:sz w:val="20"/>
              </w:rPr>
              <w:t>省数据中心承载着全省养老保险、失业保险、省直工伤保险的业务和数据，承载着全省各险种和人力资源市场的交换区，是贯彻落实养老保险“两个确保”、落实参保人员持卡实时交易的重要载体，确保系统不间断运行。</w:t>
            </w:r>
          </w:p>
          <w:p>
            <w:pPr>
              <w:pStyle w:val="null3"/>
              <w:spacing w:before="120" w:after="120"/>
              <w:jc w:val="left"/>
              <w:outlineLvl w:val="2"/>
            </w:pPr>
            <w:r>
              <w:rPr>
                <w:rFonts w:ascii="仿宋_GB2312" w:hAnsi="仿宋_GB2312" w:cs="仿宋_GB2312" w:eastAsia="仿宋_GB2312"/>
                <w:sz w:val="24"/>
                <w:b/>
              </w:rPr>
              <w:t>2.4</w:t>
            </w:r>
            <w:r>
              <w:rPr>
                <w:rFonts w:ascii="仿宋_GB2312" w:hAnsi="仿宋_GB2312" w:cs="仿宋_GB2312" w:eastAsia="仿宋_GB2312"/>
                <w:sz w:val="24"/>
                <w:b/>
              </w:rPr>
              <w:t>经济实用</w:t>
            </w:r>
          </w:p>
          <w:p>
            <w:pPr>
              <w:pStyle w:val="null3"/>
              <w:ind w:firstLine="400"/>
              <w:jc w:val="both"/>
            </w:pPr>
            <w:r>
              <w:rPr>
                <w:rFonts w:ascii="仿宋_GB2312" w:hAnsi="仿宋_GB2312" w:cs="仿宋_GB2312" w:eastAsia="仿宋_GB2312"/>
                <w:sz w:val="20"/>
              </w:rPr>
              <w:t>项目服务要求在实用的基础上符合经济原则，以最小的投入获得最大的效益。满足业务部门发起的业务需求，保证业务功能的平稳延续，并增强服务功能。同时充分考虑到今后业务的发展，保护现有投资。</w:t>
            </w:r>
          </w:p>
          <w:p>
            <w:pPr>
              <w:pStyle w:val="null3"/>
              <w:spacing w:before="120" w:after="120"/>
              <w:jc w:val="left"/>
              <w:outlineLvl w:val="2"/>
            </w:pPr>
            <w:r>
              <w:rPr>
                <w:rFonts w:ascii="仿宋_GB2312" w:hAnsi="仿宋_GB2312" w:cs="仿宋_GB2312" w:eastAsia="仿宋_GB2312"/>
                <w:sz w:val="24"/>
                <w:b/>
              </w:rPr>
              <w:t>2.5</w:t>
            </w:r>
            <w:r>
              <w:rPr>
                <w:rFonts w:ascii="仿宋_GB2312" w:hAnsi="仿宋_GB2312" w:cs="仿宋_GB2312" w:eastAsia="仿宋_GB2312"/>
                <w:sz w:val="24"/>
                <w:b/>
              </w:rPr>
              <w:t>可管理性</w:t>
            </w:r>
          </w:p>
          <w:p>
            <w:pPr>
              <w:pStyle w:val="null3"/>
              <w:ind w:firstLine="400"/>
              <w:jc w:val="both"/>
            </w:pPr>
            <w:r>
              <w:rPr>
                <w:rFonts w:ascii="仿宋_GB2312" w:hAnsi="仿宋_GB2312" w:cs="仿宋_GB2312" w:eastAsia="仿宋_GB2312"/>
                <w:sz w:val="20"/>
              </w:rPr>
              <w:t>项目应建立完善的运行维护管理体系，提供强大的运行维护管理工具与手段，确保系统运行可靠、稳定。</w:t>
            </w:r>
          </w:p>
          <w:p>
            <w:pPr>
              <w:pStyle w:val="null3"/>
              <w:spacing w:before="240" w:after="240"/>
              <w:jc w:val="both"/>
              <w:outlineLvl w:val="1"/>
            </w:pPr>
            <w:r>
              <w:rPr>
                <w:rFonts w:ascii="仿宋_GB2312" w:hAnsi="仿宋_GB2312" w:cs="仿宋_GB2312" w:eastAsia="仿宋_GB2312"/>
                <w:sz w:val="28"/>
                <w:b/>
              </w:rPr>
              <w:t>三、项目建设内容</w:t>
            </w:r>
          </w:p>
          <w:p>
            <w:pPr>
              <w:pStyle w:val="null3"/>
              <w:spacing w:before="120" w:after="120"/>
              <w:jc w:val="left"/>
              <w:outlineLvl w:val="2"/>
            </w:pPr>
            <w:r>
              <w:rPr>
                <w:rFonts w:ascii="仿宋_GB2312" w:hAnsi="仿宋_GB2312" w:cs="仿宋_GB2312" w:eastAsia="仿宋_GB2312"/>
                <w:sz w:val="24"/>
                <w:b/>
              </w:rPr>
              <w:t>1.</w:t>
            </w:r>
            <w:r>
              <w:rPr>
                <w:rFonts w:ascii="仿宋_GB2312" w:hAnsi="仿宋_GB2312" w:cs="仿宋_GB2312" w:eastAsia="仿宋_GB2312"/>
                <w:sz w:val="24"/>
                <w:b/>
              </w:rPr>
              <w:t>项目目标</w:t>
            </w:r>
          </w:p>
          <w:p>
            <w:pPr>
              <w:pStyle w:val="null3"/>
              <w:ind w:firstLine="400"/>
              <w:jc w:val="both"/>
            </w:pPr>
            <w:r>
              <w:rPr>
                <w:rFonts w:ascii="仿宋_GB2312" w:hAnsi="仿宋_GB2312" w:cs="仿宋_GB2312" w:eastAsia="仿宋_GB2312"/>
                <w:sz w:val="20"/>
              </w:rPr>
              <w:t>本项目以陕西省金保工程总体建设目标为指导依据，完善及优化现有应用系统。通过对应用系统提供运行维护服务，保证省数据中心全省统一本地化软件正常运行，并在陕西省人力资源和社会保障厅统筹安排下，系统用户的业务需求、优化业务处理流程、提高应用系统效率、增加及完善系统友善性处理，从而进一步保证对社会保险经办业务全过程的管理，为社会化服务、基金监督和宏观决策继续提供全方位技术支持。</w:t>
            </w:r>
          </w:p>
          <w:p>
            <w:pPr>
              <w:pStyle w:val="null3"/>
              <w:spacing w:before="120" w:after="120"/>
              <w:jc w:val="left"/>
              <w:outlineLvl w:val="2"/>
            </w:pPr>
            <w:r>
              <w:rPr>
                <w:rFonts w:ascii="仿宋_GB2312" w:hAnsi="仿宋_GB2312" w:cs="仿宋_GB2312" w:eastAsia="仿宋_GB2312"/>
                <w:sz w:val="24"/>
                <w:b/>
              </w:rPr>
              <w:t>2.</w:t>
            </w:r>
            <w:r>
              <w:rPr>
                <w:rFonts w:ascii="仿宋_GB2312" w:hAnsi="仿宋_GB2312" w:cs="仿宋_GB2312" w:eastAsia="仿宋_GB2312"/>
                <w:sz w:val="24"/>
                <w:b/>
              </w:rPr>
              <w:t>项目范围</w:t>
            </w:r>
          </w:p>
          <w:tbl>
            <w:tblPr>
              <w:tblBorders>
                <w:top w:val="none" w:color="000000" w:sz="4"/>
                <w:left w:val="none" w:color="000000" w:sz="4"/>
                <w:bottom w:val="none" w:color="000000" w:sz="4"/>
                <w:right w:val="none" w:color="000000" w:sz="4"/>
                <w:insideH w:val="none"/>
                <w:insideV w:val="none"/>
              </w:tblBorders>
            </w:tblPr>
            <w:tblGrid>
              <w:gridCol w:w="266"/>
              <w:gridCol w:w="591"/>
              <w:gridCol w:w="1211"/>
              <w:gridCol w:w="485"/>
            </w:tblGrid>
            <w:tr>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软件名称</w:t>
                  </w:r>
                </w:p>
              </w:tc>
              <w:tc>
                <w:tcPr>
                  <w:tcW w:type="dxa" w:w="12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both"/>
                  </w:pPr>
                  <w:r>
                    <w:rPr>
                      <w:rFonts w:ascii="仿宋_GB2312" w:hAnsi="仿宋_GB2312" w:cs="仿宋_GB2312" w:eastAsia="仿宋_GB2312"/>
                      <w:sz w:val="20"/>
                      <w:b/>
                    </w:rPr>
                    <w:t>服务经办机构范围</w:t>
                  </w:r>
                </w:p>
              </w:tc>
              <w:tc>
                <w:tcPr>
                  <w:tcW w:type="dxa" w:w="4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运维时间</w:t>
                  </w:r>
                </w:p>
              </w:tc>
            </w:tr>
            <w:tr>
              <w:tc>
                <w:tcPr>
                  <w:tcW w:type="dxa" w:w="255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rPr>
                    <w:t>2.1</w:t>
                  </w:r>
                  <w:r>
                    <w:rPr>
                      <w:rFonts w:ascii="仿宋_GB2312" w:hAnsi="仿宋_GB2312" w:cs="仿宋_GB2312" w:eastAsia="仿宋_GB2312"/>
                      <w:sz w:val="20"/>
                      <w:b/>
                    </w:rPr>
                    <w:t>应用系统运行维护</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城乡居民社会养老保险管理信息系统</w:t>
                  </w:r>
                </w:p>
              </w:tc>
              <w:tc>
                <w:tcPr>
                  <w:tcW w:type="dxa" w:w="12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全省城乡居民养老保险经办机构</w:t>
                  </w:r>
                </w:p>
              </w:tc>
              <w:tc>
                <w:tcPr>
                  <w:tcW w:type="dxa" w:w="4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14个月</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城镇企业职工养老保险管理信息系统</w:t>
                  </w: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全省企业职工养老保险经办机构</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14个月</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人社部基金监管系统</w:t>
                  </w: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全省各级基金监管行政管理机构</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14个月</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用友A++财务软件</w:t>
                  </w: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全省企业职工、城乡居民、机关养老保险经办机构</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14个月</w:t>
                  </w:r>
                </w:p>
              </w:tc>
            </w:tr>
            <w:tr>
              <w:tc>
                <w:tcPr>
                  <w:tcW w:type="dxa" w:w="255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rPr>
                    <w:t>2.2</w:t>
                  </w:r>
                  <w:r>
                    <w:rPr>
                      <w:rFonts w:ascii="仿宋_GB2312" w:hAnsi="仿宋_GB2312" w:cs="仿宋_GB2312" w:eastAsia="仿宋_GB2312"/>
                      <w:sz w:val="20"/>
                      <w:b/>
                    </w:rPr>
                    <w:t>“高效办成一件事”系统改造对接</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 xml:space="preserve"> </w:t>
                  </w:r>
                  <w:r>
                    <w:rPr>
                      <w:rFonts w:ascii="仿宋_GB2312" w:hAnsi="仿宋_GB2312" w:cs="仿宋_GB2312" w:eastAsia="仿宋_GB2312"/>
                      <w:sz w:val="20"/>
                    </w:rPr>
                    <w:t>“高效办成一件事”系统改造对接</w:t>
                  </w:r>
                </w:p>
              </w:tc>
              <w:tc>
                <w:tcPr>
                  <w:tcW w:type="dxa" w:w="169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依据国务院办公厅关于印发《“高效办成一件事”2025年度第一批重点事项清单》的通知，对陕西省城镇企业职工养老保险管理信息系统进行改造，实现以下“高效办成一件事”：</w:t>
                  </w:r>
                </w:p>
                <w:p>
                  <w:pPr>
                    <w:pStyle w:val="null3"/>
                    <w:numPr>
                      <w:ilvl w:val="0"/>
                      <w:numId w:val="1"/>
                    </w:numPr>
                  </w:pPr>
                  <w:r>
                    <w:rPr>
                      <w:rFonts w:ascii="仿宋_GB2312" w:hAnsi="仿宋_GB2312" w:cs="仿宋_GB2312" w:eastAsia="仿宋_GB2312"/>
                      <w:sz w:val="20"/>
                    </w:rPr>
                    <w:t>退休一件事</w:t>
                  </w:r>
                </w:p>
                <w:p>
                  <w:pPr>
                    <w:pStyle w:val="null3"/>
                    <w:numPr>
                      <w:ilvl w:val="0"/>
                      <w:numId w:val="1"/>
                    </w:numPr>
                  </w:pPr>
                  <w:r>
                    <w:rPr>
                      <w:rFonts w:ascii="仿宋_GB2312" w:hAnsi="仿宋_GB2312" w:cs="仿宋_GB2312" w:eastAsia="仿宋_GB2312"/>
                      <w:sz w:val="20"/>
                    </w:rPr>
                    <w:t>单位信息变更一件事</w:t>
                  </w:r>
                </w:p>
                <w:p>
                  <w:pPr>
                    <w:pStyle w:val="null3"/>
                    <w:numPr>
                      <w:ilvl w:val="0"/>
                      <w:numId w:val="1"/>
                    </w:numPr>
                  </w:pPr>
                  <w:r>
                    <w:rPr>
                      <w:rFonts w:ascii="仿宋_GB2312" w:hAnsi="仿宋_GB2312" w:cs="仿宋_GB2312" w:eastAsia="仿宋_GB2312"/>
                      <w:sz w:val="20"/>
                    </w:rPr>
                    <w:t>单位注销一件事</w:t>
                  </w:r>
                </w:p>
                <w:p>
                  <w:pPr>
                    <w:pStyle w:val="null3"/>
                    <w:numPr>
                      <w:ilvl w:val="0"/>
                      <w:numId w:val="1"/>
                    </w:numPr>
                  </w:pPr>
                  <w:r>
                    <w:rPr>
                      <w:rFonts w:ascii="仿宋_GB2312" w:hAnsi="仿宋_GB2312" w:cs="仿宋_GB2312" w:eastAsia="仿宋_GB2312"/>
                      <w:sz w:val="20"/>
                    </w:rPr>
                    <w:t>单位迁移一件事</w:t>
                  </w:r>
                </w:p>
                <w:p>
                  <w:pPr>
                    <w:pStyle w:val="null3"/>
                    <w:numPr>
                      <w:ilvl w:val="0"/>
                      <w:numId w:val="1"/>
                    </w:numPr>
                  </w:pPr>
                  <w:r>
                    <w:rPr>
                      <w:rFonts w:ascii="仿宋_GB2312" w:hAnsi="仿宋_GB2312" w:cs="仿宋_GB2312" w:eastAsia="仿宋_GB2312"/>
                      <w:sz w:val="20"/>
                    </w:rPr>
                    <w:t>个体工商户转企业一件事</w:t>
                  </w:r>
                </w:p>
                <w:p>
                  <w:pPr>
                    <w:pStyle w:val="null3"/>
                    <w:numPr>
                      <w:ilvl w:val="0"/>
                      <w:numId w:val="1"/>
                    </w:numPr>
                  </w:pPr>
                  <w:r>
                    <w:rPr>
                      <w:rFonts w:ascii="仿宋_GB2312" w:hAnsi="仿宋_GB2312" w:cs="仿宋_GB2312" w:eastAsia="仿宋_GB2312"/>
                      <w:sz w:val="20"/>
                    </w:rPr>
                    <w:t>申请公租房一件事</w:t>
                  </w:r>
                </w:p>
                <w:p>
                  <w:pPr>
                    <w:pStyle w:val="null3"/>
                    <w:numPr>
                      <w:ilvl w:val="0"/>
                      <w:numId w:val="1"/>
                    </w:numPr>
                  </w:pPr>
                  <w:r>
                    <w:rPr>
                      <w:rFonts w:ascii="仿宋_GB2312" w:hAnsi="仿宋_GB2312" w:cs="仿宋_GB2312" w:eastAsia="仿宋_GB2312"/>
                      <w:sz w:val="20"/>
                    </w:rPr>
                    <w:t>退役军人一件事</w:t>
                  </w:r>
                </w:p>
                <w:p>
                  <w:pPr>
                    <w:pStyle w:val="null3"/>
                    <w:numPr>
                      <w:ilvl w:val="0"/>
                      <w:numId w:val="1"/>
                    </w:numPr>
                  </w:pPr>
                  <w:r>
                    <w:rPr>
                      <w:rFonts w:ascii="仿宋_GB2312" w:hAnsi="仿宋_GB2312" w:cs="仿宋_GB2312" w:eastAsia="仿宋_GB2312"/>
                      <w:sz w:val="20"/>
                    </w:rPr>
                    <w:t>公民身后一件事</w:t>
                  </w:r>
                </w:p>
                <w:p>
                  <w:pPr>
                    <w:pStyle w:val="null3"/>
                    <w:numPr>
                      <w:ilvl w:val="0"/>
                      <w:numId w:val="1"/>
                    </w:numPr>
                  </w:pPr>
                  <w:r>
                    <w:rPr>
                      <w:rFonts w:ascii="仿宋_GB2312" w:hAnsi="仿宋_GB2312" w:cs="仿宋_GB2312" w:eastAsia="仿宋_GB2312"/>
                      <w:sz w:val="20"/>
                    </w:rPr>
                    <w:t>企业破产一件事</w:t>
                  </w:r>
                </w:p>
                <w:p>
                  <w:pPr>
                    <w:pStyle w:val="null3"/>
                    <w:numPr>
                      <w:ilvl w:val="0"/>
                      <w:numId w:val="1"/>
                    </w:numPr>
                  </w:pPr>
                  <w:r>
                    <w:rPr>
                      <w:rFonts w:ascii="仿宋_GB2312" w:hAnsi="仿宋_GB2312" w:cs="仿宋_GB2312" w:eastAsia="仿宋_GB2312"/>
                      <w:sz w:val="20"/>
                    </w:rPr>
                    <w:t>外国人来华参保一件事</w:t>
                  </w:r>
                </w:p>
                <w:p>
                  <w:pPr>
                    <w:pStyle w:val="null3"/>
                    <w:numPr>
                      <w:ilvl w:val="0"/>
                      <w:numId w:val="1"/>
                    </w:numPr>
                  </w:pPr>
                  <w:r>
                    <w:rPr>
                      <w:rFonts w:ascii="仿宋_GB2312" w:hAnsi="仿宋_GB2312" w:cs="仿宋_GB2312" w:eastAsia="仿宋_GB2312"/>
                      <w:sz w:val="20"/>
                    </w:rPr>
                    <w:t>教育入学一件事</w:t>
                  </w:r>
                </w:p>
                <w:p>
                  <w:pPr>
                    <w:pStyle w:val="null3"/>
                    <w:numPr>
                      <w:ilvl w:val="0"/>
                      <w:numId w:val="1"/>
                    </w:numPr>
                  </w:pPr>
                  <w:r>
                    <w:rPr>
                      <w:rFonts w:ascii="仿宋_GB2312" w:hAnsi="仿宋_GB2312" w:cs="仿宋_GB2312" w:eastAsia="仿宋_GB2312"/>
                      <w:sz w:val="20"/>
                    </w:rPr>
                    <w:t>城镇职工基本养老保险待遇发放账户维护申请</w:t>
                  </w:r>
                </w:p>
                <w:p>
                  <w:pPr>
                    <w:pStyle w:val="null3"/>
                    <w:numPr>
                      <w:ilvl w:val="0"/>
                      <w:numId w:val="1"/>
                    </w:numPr>
                  </w:pPr>
                  <w:r>
                    <w:rPr>
                      <w:rFonts w:ascii="仿宋_GB2312" w:hAnsi="仿宋_GB2312" w:cs="仿宋_GB2312" w:eastAsia="仿宋_GB2312"/>
                      <w:sz w:val="20"/>
                    </w:rPr>
                    <w:t>城镇职工基本养老保险关系转移接续申请（跨省）</w:t>
                  </w:r>
                </w:p>
              </w:tc>
            </w:tr>
            <w:tr>
              <w:tc>
                <w:tcPr>
                  <w:tcW w:type="dxa" w:w="255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rPr>
                    <w:t>2.3</w:t>
                  </w:r>
                  <w:r>
                    <w:rPr>
                      <w:rFonts w:ascii="仿宋_GB2312" w:hAnsi="仿宋_GB2312" w:cs="仿宋_GB2312" w:eastAsia="仿宋_GB2312"/>
                      <w:sz w:val="20"/>
                      <w:b/>
                    </w:rPr>
                    <w:t>陕西社会保险个人版</w:t>
                  </w:r>
                  <w:r>
                    <w:rPr>
                      <w:rFonts w:ascii="仿宋_GB2312" w:hAnsi="仿宋_GB2312" w:cs="仿宋_GB2312" w:eastAsia="仿宋_GB2312"/>
                      <w:sz w:val="20"/>
                      <w:b/>
                    </w:rPr>
                    <w:t>APP</w:t>
                  </w:r>
                  <w:r>
                    <w:rPr>
                      <w:rFonts w:ascii="仿宋_GB2312" w:hAnsi="仿宋_GB2312" w:cs="仿宋_GB2312" w:eastAsia="仿宋_GB2312"/>
                      <w:sz w:val="20"/>
                      <w:b/>
                    </w:rPr>
                    <w:t>鸿蒙系统适配</w:t>
                  </w:r>
                  <w:r>
                    <w:rPr>
                      <w:rFonts w:ascii="仿宋_GB2312" w:hAnsi="仿宋_GB2312" w:cs="仿宋_GB2312" w:eastAsia="仿宋_GB2312"/>
                      <w:sz w:val="20"/>
                      <w:b/>
                    </w:rPr>
                    <w:t>改造</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陕西社会保险个人版APP鸿蒙系统适配改造改</w:t>
                  </w:r>
                </w:p>
              </w:tc>
              <w:tc>
                <w:tcPr>
                  <w:tcW w:type="dxa" w:w="169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开发陕西社会保险个人版APP鸿蒙系统适配改造，</w:t>
                  </w:r>
                  <w:r>
                    <w:rPr>
                      <w:rFonts w:ascii="仿宋_GB2312" w:hAnsi="仿宋_GB2312" w:cs="仿宋_GB2312" w:eastAsia="仿宋_GB2312"/>
                      <w:sz w:val="20"/>
                    </w:rPr>
                    <w:t>至少</w:t>
                  </w:r>
                  <w:r>
                    <w:rPr>
                      <w:rFonts w:ascii="仿宋_GB2312" w:hAnsi="仿宋_GB2312" w:cs="仿宋_GB2312" w:eastAsia="仿宋_GB2312"/>
                      <w:sz w:val="20"/>
                    </w:rPr>
                    <w:t>包括以下功能：</w:t>
                  </w:r>
                </w:p>
                <w:p>
                  <w:pPr>
                    <w:pStyle w:val="null3"/>
                    <w:jc w:val="left"/>
                  </w:pPr>
                  <w:r>
                    <w:rPr>
                      <w:rFonts w:ascii="仿宋_GB2312" w:hAnsi="仿宋_GB2312" w:cs="仿宋_GB2312" w:eastAsia="仿宋_GB2312"/>
                      <w:sz w:val="20"/>
                    </w:rPr>
                    <w:t>1、注册登录：包括APP华为账号一键登录、手机号码免费注册、指纹登录方式、微信登录方式、手机号码登录、社保卡登录、个人版忘记密码等功能。</w:t>
                  </w:r>
                </w:p>
                <w:p>
                  <w:pPr>
                    <w:pStyle w:val="null3"/>
                    <w:jc w:val="left"/>
                  </w:pPr>
                  <w:r>
                    <w:rPr>
                      <w:rFonts w:ascii="仿宋_GB2312" w:hAnsi="仿宋_GB2312" w:cs="仿宋_GB2312" w:eastAsia="仿宋_GB2312"/>
                      <w:sz w:val="20"/>
                    </w:rPr>
                    <w:t>2、职工养老个人业务办理：主要包括参保</w:t>
                  </w:r>
                  <w:r>
                    <w:rPr>
                      <w:rFonts w:ascii="仿宋_GB2312" w:hAnsi="仿宋_GB2312" w:cs="仿宋_GB2312" w:eastAsia="仿宋_GB2312"/>
                      <w:sz w:val="20"/>
                    </w:rPr>
                    <w:t>登记</w:t>
                  </w:r>
                  <w:r>
                    <w:rPr>
                      <w:rFonts w:ascii="仿宋_GB2312" w:hAnsi="仿宋_GB2312" w:cs="仿宋_GB2312" w:eastAsia="仿宋_GB2312"/>
                      <w:sz w:val="20"/>
                    </w:rPr>
                    <w:t>、</w:t>
                  </w:r>
                  <w:r>
                    <w:rPr>
                      <w:rFonts w:ascii="仿宋_GB2312" w:hAnsi="仿宋_GB2312" w:cs="仿宋_GB2312" w:eastAsia="仿宋_GB2312"/>
                      <w:sz w:val="20"/>
                    </w:rPr>
                    <w:t>社保</w:t>
                  </w:r>
                  <w:r>
                    <w:rPr>
                      <w:rFonts w:ascii="仿宋_GB2312" w:hAnsi="仿宋_GB2312" w:cs="仿宋_GB2312" w:eastAsia="仿宋_GB2312"/>
                      <w:sz w:val="20"/>
                    </w:rPr>
                    <w:t>缴费、停续保、退休</w:t>
                  </w:r>
                  <w:r>
                    <w:rPr>
                      <w:rFonts w:ascii="仿宋_GB2312" w:hAnsi="仿宋_GB2312" w:cs="仿宋_GB2312" w:eastAsia="仿宋_GB2312"/>
                      <w:sz w:val="20"/>
                    </w:rPr>
                    <w:t>办理</w:t>
                  </w:r>
                  <w:r>
                    <w:rPr>
                      <w:rFonts w:ascii="仿宋_GB2312" w:hAnsi="仿宋_GB2312" w:cs="仿宋_GB2312" w:eastAsia="仿宋_GB2312"/>
                      <w:sz w:val="20"/>
                    </w:rPr>
                    <w:t>、</w:t>
                  </w:r>
                  <w:r>
                    <w:rPr>
                      <w:rFonts w:ascii="仿宋_GB2312" w:hAnsi="仿宋_GB2312" w:cs="仿宋_GB2312" w:eastAsia="仿宋_GB2312"/>
                      <w:sz w:val="20"/>
                    </w:rPr>
                    <w:t>待遇资格</w:t>
                  </w:r>
                  <w:r>
                    <w:rPr>
                      <w:rFonts w:ascii="仿宋_GB2312" w:hAnsi="仿宋_GB2312" w:cs="仿宋_GB2312" w:eastAsia="仿宋_GB2312"/>
                      <w:sz w:val="20"/>
                    </w:rPr>
                    <w:t>认证、信息变更、证明</w:t>
                  </w:r>
                  <w:r>
                    <w:rPr>
                      <w:rFonts w:ascii="仿宋_GB2312" w:hAnsi="仿宋_GB2312" w:cs="仿宋_GB2312" w:eastAsia="仿宋_GB2312"/>
                      <w:sz w:val="20"/>
                    </w:rPr>
                    <w:t>打印</w:t>
                  </w:r>
                  <w:r>
                    <w:rPr>
                      <w:rFonts w:ascii="仿宋_GB2312" w:hAnsi="仿宋_GB2312" w:cs="仿宋_GB2312" w:eastAsia="仿宋_GB2312"/>
                      <w:sz w:val="20"/>
                    </w:rPr>
                    <w:t>、证明</w:t>
                  </w:r>
                  <w:r>
                    <w:rPr>
                      <w:rFonts w:ascii="仿宋_GB2312" w:hAnsi="仿宋_GB2312" w:cs="仿宋_GB2312" w:eastAsia="仿宋_GB2312"/>
                      <w:sz w:val="20"/>
                    </w:rPr>
                    <w:t>核验</w:t>
                  </w:r>
                  <w:r>
                    <w:rPr>
                      <w:rFonts w:ascii="仿宋_GB2312" w:hAnsi="仿宋_GB2312" w:cs="仿宋_GB2312" w:eastAsia="仿宋_GB2312"/>
                      <w:sz w:val="20"/>
                    </w:rPr>
                    <w:t>、</w:t>
                  </w:r>
                  <w:r>
                    <w:rPr>
                      <w:rFonts w:ascii="仿宋_GB2312" w:hAnsi="仿宋_GB2312" w:cs="仿宋_GB2312" w:eastAsia="仿宋_GB2312"/>
                      <w:sz w:val="20"/>
                    </w:rPr>
                    <w:t>信息</w:t>
                  </w:r>
                  <w:r>
                    <w:rPr>
                      <w:rFonts w:ascii="仿宋_GB2312" w:hAnsi="仿宋_GB2312" w:cs="仿宋_GB2312" w:eastAsia="仿宋_GB2312"/>
                      <w:sz w:val="20"/>
                    </w:rPr>
                    <w:t>查询、电话咨询、电子地图等功能。</w:t>
                  </w:r>
                </w:p>
                <w:p>
                  <w:pPr>
                    <w:pStyle w:val="null3"/>
                    <w:jc w:val="left"/>
                  </w:pPr>
                  <w:r>
                    <w:rPr>
                      <w:rFonts w:ascii="仿宋_GB2312" w:hAnsi="仿宋_GB2312" w:cs="仿宋_GB2312" w:eastAsia="仿宋_GB2312"/>
                      <w:sz w:val="20"/>
                    </w:rPr>
                    <w:t>3、居民养老个人业务办理：主要包括我要参保</w:t>
                  </w:r>
                  <w:r>
                    <w:rPr>
                      <w:rFonts w:ascii="仿宋_GB2312" w:hAnsi="仿宋_GB2312" w:cs="仿宋_GB2312" w:eastAsia="仿宋_GB2312"/>
                      <w:sz w:val="20"/>
                    </w:rPr>
                    <w:t>登记</w:t>
                  </w:r>
                  <w:r>
                    <w:rPr>
                      <w:rFonts w:ascii="仿宋_GB2312" w:hAnsi="仿宋_GB2312" w:cs="仿宋_GB2312" w:eastAsia="仿宋_GB2312"/>
                      <w:sz w:val="20"/>
                    </w:rPr>
                    <w:t>、</w:t>
                  </w:r>
                  <w:r>
                    <w:rPr>
                      <w:rFonts w:ascii="仿宋_GB2312" w:hAnsi="仿宋_GB2312" w:cs="仿宋_GB2312" w:eastAsia="仿宋_GB2312"/>
                      <w:sz w:val="20"/>
                    </w:rPr>
                    <w:t>待遇申请</w:t>
                  </w:r>
                  <w:r>
                    <w:rPr>
                      <w:rFonts w:ascii="仿宋_GB2312" w:hAnsi="仿宋_GB2312" w:cs="仿宋_GB2312" w:eastAsia="仿宋_GB2312"/>
                      <w:sz w:val="20"/>
                    </w:rPr>
                    <w:t>、</w:t>
                  </w:r>
                  <w:r>
                    <w:rPr>
                      <w:rFonts w:ascii="仿宋_GB2312" w:hAnsi="仿宋_GB2312" w:cs="仿宋_GB2312" w:eastAsia="仿宋_GB2312"/>
                      <w:sz w:val="20"/>
                    </w:rPr>
                    <w:t>信息</w:t>
                  </w:r>
                  <w:r>
                    <w:rPr>
                      <w:rFonts w:ascii="仿宋_GB2312" w:hAnsi="仿宋_GB2312" w:cs="仿宋_GB2312" w:eastAsia="仿宋_GB2312"/>
                      <w:sz w:val="20"/>
                    </w:rPr>
                    <w:t>查询、</w:t>
                  </w:r>
                  <w:r>
                    <w:rPr>
                      <w:rFonts w:ascii="仿宋_GB2312" w:hAnsi="仿宋_GB2312" w:cs="仿宋_GB2312" w:eastAsia="仿宋_GB2312"/>
                      <w:sz w:val="20"/>
                    </w:rPr>
                    <w:t>待遇资格</w:t>
                  </w:r>
                  <w:r>
                    <w:rPr>
                      <w:rFonts w:ascii="仿宋_GB2312" w:hAnsi="仿宋_GB2312" w:cs="仿宋_GB2312" w:eastAsia="仿宋_GB2312"/>
                      <w:sz w:val="20"/>
                    </w:rPr>
                    <w:t>认证证、信息变更、证明</w:t>
                  </w:r>
                  <w:r>
                    <w:rPr>
                      <w:rFonts w:ascii="仿宋_GB2312" w:hAnsi="仿宋_GB2312" w:cs="仿宋_GB2312" w:eastAsia="仿宋_GB2312"/>
                      <w:sz w:val="20"/>
                    </w:rPr>
                    <w:t>打印</w:t>
                  </w:r>
                  <w:r>
                    <w:rPr>
                      <w:rFonts w:ascii="仿宋_GB2312" w:hAnsi="仿宋_GB2312" w:cs="仿宋_GB2312" w:eastAsia="仿宋_GB2312"/>
                      <w:sz w:val="20"/>
                    </w:rPr>
                    <w:t>、证明</w:t>
                  </w:r>
                  <w:r>
                    <w:rPr>
                      <w:rFonts w:ascii="仿宋_GB2312" w:hAnsi="仿宋_GB2312" w:cs="仿宋_GB2312" w:eastAsia="仿宋_GB2312"/>
                      <w:sz w:val="20"/>
                    </w:rPr>
                    <w:t>核验</w:t>
                  </w:r>
                  <w:r>
                    <w:rPr>
                      <w:rFonts w:ascii="仿宋_GB2312" w:hAnsi="仿宋_GB2312" w:cs="仿宋_GB2312" w:eastAsia="仿宋_GB2312"/>
                      <w:sz w:val="20"/>
                    </w:rPr>
                    <w:t>、人员流动、电话咨询、亲友</w:t>
                  </w:r>
                  <w:r>
                    <w:rPr>
                      <w:rFonts w:ascii="仿宋_GB2312" w:hAnsi="仿宋_GB2312" w:cs="仿宋_GB2312" w:eastAsia="仿宋_GB2312"/>
                      <w:sz w:val="20"/>
                    </w:rPr>
                    <w:t>代办</w:t>
                  </w:r>
                  <w:r>
                    <w:rPr>
                      <w:rFonts w:ascii="仿宋_GB2312" w:hAnsi="仿宋_GB2312" w:cs="仿宋_GB2312" w:eastAsia="仿宋_GB2312"/>
                      <w:sz w:val="20"/>
                    </w:rPr>
                    <w:t>等功能。</w:t>
                  </w:r>
                </w:p>
                <w:p>
                  <w:pPr>
                    <w:pStyle w:val="null3"/>
                    <w:jc w:val="left"/>
                  </w:pPr>
                  <w:r>
                    <w:rPr>
                      <w:rFonts w:ascii="仿宋_GB2312" w:hAnsi="仿宋_GB2312" w:cs="仿宋_GB2312" w:eastAsia="仿宋_GB2312"/>
                      <w:sz w:val="20"/>
                    </w:rPr>
                    <w:t>4、问题咨询：主要包括常见问题、职工操作手册、居民操作手册等功能。</w:t>
                  </w:r>
                </w:p>
                <w:p>
                  <w:pPr>
                    <w:pStyle w:val="null3"/>
                    <w:jc w:val="left"/>
                  </w:pPr>
                  <w:r>
                    <w:rPr>
                      <w:rFonts w:ascii="仿宋_GB2312" w:hAnsi="仿宋_GB2312" w:cs="仿宋_GB2312" w:eastAsia="仿宋_GB2312"/>
                      <w:sz w:val="20"/>
                    </w:rPr>
                    <w:t>5、关爱版：为参保人员提供</w:t>
                  </w:r>
                  <w:r>
                    <w:rPr>
                      <w:rFonts w:ascii="仿宋_GB2312" w:hAnsi="仿宋_GB2312" w:cs="仿宋_GB2312" w:eastAsia="仿宋_GB2312"/>
                      <w:sz w:val="20"/>
                    </w:rPr>
                    <w:t>适老化功能</w:t>
                  </w:r>
                  <w:r>
                    <w:rPr>
                      <w:rFonts w:ascii="仿宋_GB2312" w:hAnsi="仿宋_GB2312" w:cs="仿宋_GB2312" w:eastAsia="仿宋_GB2312"/>
                      <w:sz w:val="20"/>
                    </w:rPr>
                    <w:t>。</w:t>
                  </w:r>
                </w:p>
                <w:p>
                  <w:pPr>
                    <w:pStyle w:val="null3"/>
                    <w:spacing w:after="120"/>
                    <w:jc w:val="both"/>
                  </w:pPr>
                  <w:r>
                    <w:rPr>
                      <w:rFonts w:ascii="仿宋_GB2312" w:hAnsi="仿宋_GB2312" w:cs="仿宋_GB2312" w:eastAsia="仿宋_GB2312"/>
                      <w:sz w:val="20"/>
                    </w:rPr>
                    <w:t>6、服务指南：主要包括职工养老服务指南、居民养老服务指南和常见问题的处理手册。</w:t>
                  </w:r>
                </w:p>
                <w:p>
                  <w:pPr>
                    <w:pStyle w:val="null3"/>
                    <w:spacing w:after="120"/>
                    <w:jc w:val="both"/>
                  </w:pPr>
                  <w:r>
                    <w:rPr>
                      <w:rFonts w:ascii="仿宋_GB2312" w:hAnsi="仿宋_GB2312" w:cs="仿宋_GB2312" w:eastAsia="仿宋_GB2312"/>
                      <w:sz w:val="20"/>
                    </w:rPr>
                    <w:t>7、消息：主要包括</w:t>
                  </w:r>
                  <w:r>
                    <w:rPr>
                      <w:rFonts w:ascii="仿宋_GB2312" w:hAnsi="仿宋_GB2312" w:cs="仿宋_GB2312" w:eastAsia="仿宋_GB2312"/>
                      <w:sz w:val="20"/>
                    </w:rPr>
                    <w:t>显示</w:t>
                  </w:r>
                  <w:r>
                    <w:rPr>
                      <w:rFonts w:ascii="仿宋_GB2312" w:hAnsi="仿宋_GB2312" w:cs="仿宋_GB2312" w:eastAsia="仿宋_GB2312"/>
                      <w:sz w:val="20"/>
                    </w:rPr>
                    <w:t>消息条目、提醒列表等功能。</w:t>
                  </w:r>
                </w:p>
                <w:p>
                  <w:pPr>
                    <w:pStyle w:val="null3"/>
                    <w:spacing w:after="120"/>
                    <w:jc w:val="both"/>
                  </w:pPr>
                  <w:r>
                    <w:rPr>
                      <w:rFonts w:ascii="仿宋_GB2312" w:hAnsi="仿宋_GB2312" w:cs="仿宋_GB2312" w:eastAsia="仿宋_GB2312"/>
                      <w:sz w:val="20"/>
                    </w:rPr>
                    <w:t>8、</w:t>
                  </w:r>
                  <w:r>
                    <w:rPr>
                      <w:rFonts w:ascii="仿宋_GB2312" w:hAnsi="仿宋_GB2312" w:cs="仿宋_GB2312" w:eastAsia="仿宋_GB2312"/>
                      <w:sz w:val="20"/>
                    </w:rPr>
                    <w:t>通用设置</w:t>
                  </w:r>
                  <w:r>
                    <w:rPr>
                      <w:rFonts w:ascii="仿宋_GB2312" w:hAnsi="仿宋_GB2312" w:cs="仿宋_GB2312" w:eastAsia="仿宋_GB2312"/>
                      <w:sz w:val="20"/>
                    </w:rPr>
                    <w:t>：主要包括修改姓名、修改身份证号、实名注册、授权、账户设置、通用设置、关于</w:t>
                  </w:r>
                  <w:r>
                    <w:rPr>
                      <w:rFonts w:ascii="仿宋_GB2312" w:hAnsi="仿宋_GB2312" w:cs="仿宋_GB2312" w:eastAsia="仿宋_GB2312"/>
                      <w:sz w:val="20"/>
                    </w:rPr>
                    <w:t>信息</w:t>
                  </w:r>
                  <w:r>
                    <w:rPr>
                      <w:rFonts w:ascii="仿宋_GB2312" w:hAnsi="仿宋_GB2312" w:cs="仿宋_GB2312" w:eastAsia="仿宋_GB2312"/>
                      <w:sz w:val="20"/>
                    </w:rPr>
                    <w:t>、安全退出等功能。</w:t>
                  </w:r>
                </w:p>
                <w:p>
                  <w:pPr>
                    <w:pStyle w:val="null3"/>
                    <w:spacing w:after="120"/>
                    <w:jc w:val="both"/>
                  </w:pPr>
                  <w:r>
                    <w:rPr>
                      <w:rFonts w:ascii="仿宋_GB2312" w:hAnsi="仿宋_GB2312" w:cs="仿宋_GB2312" w:eastAsia="仿宋_GB2312"/>
                      <w:sz w:val="20"/>
                    </w:rPr>
                    <w:t>9、进度查询：主要包括养老保险统筹范围外转移进度查询、存档证明、政审证明、调档函等</w:t>
                  </w:r>
                  <w:r>
                    <w:rPr>
                      <w:rFonts w:ascii="仿宋_GB2312" w:hAnsi="仿宋_GB2312" w:cs="仿宋_GB2312" w:eastAsia="仿宋_GB2312"/>
                      <w:sz w:val="20"/>
                    </w:rPr>
                    <w:t>办理进度查询</w:t>
                  </w:r>
                  <w:r>
                    <w:rPr>
                      <w:rFonts w:ascii="仿宋_GB2312" w:hAnsi="仿宋_GB2312" w:cs="仿宋_GB2312" w:eastAsia="仿宋_GB2312"/>
                      <w:sz w:val="20"/>
                    </w:rPr>
                    <w:t>。</w:t>
                  </w:r>
                </w:p>
                <w:p>
                  <w:pPr>
                    <w:pStyle w:val="null3"/>
                    <w:spacing w:after="120"/>
                    <w:jc w:val="both"/>
                  </w:pPr>
                  <w:r>
                    <w:rPr>
                      <w:rFonts w:ascii="仿宋_GB2312" w:hAnsi="仿宋_GB2312" w:cs="仿宋_GB2312" w:eastAsia="仿宋_GB2312"/>
                      <w:sz w:val="20"/>
                    </w:rPr>
                    <w:t>10、通知公告：主要包括综合、养老等方面的通知公告。</w:t>
                  </w:r>
                </w:p>
                <w:p>
                  <w:pPr>
                    <w:pStyle w:val="null3"/>
                    <w:spacing w:after="120"/>
                    <w:jc w:val="both"/>
                  </w:pPr>
                  <w:r>
                    <w:rPr>
                      <w:rFonts w:ascii="仿宋_GB2312" w:hAnsi="仿宋_GB2312" w:cs="仿宋_GB2312" w:eastAsia="仿宋_GB2312"/>
                      <w:sz w:val="20"/>
                    </w:rPr>
                    <w:t>11、下载专区：主要包括城镇职工基本养老保险申请表、灵活就业人员退休申请表等功能。</w:t>
                  </w:r>
                </w:p>
                <w:p>
                  <w:pPr>
                    <w:pStyle w:val="null3"/>
                    <w:spacing w:after="120"/>
                    <w:jc w:val="both"/>
                  </w:pPr>
                  <w:r>
                    <w:rPr>
                      <w:rFonts w:ascii="仿宋_GB2312" w:hAnsi="仿宋_GB2312" w:cs="仿宋_GB2312" w:eastAsia="仿宋_GB2312"/>
                      <w:sz w:val="20"/>
                    </w:rPr>
                    <w:t>12、其他功能：主要包括智能客服、预约排号、</w:t>
                  </w:r>
                  <w:r>
                    <w:rPr>
                      <w:rFonts w:ascii="仿宋_GB2312" w:hAnsi="仿宋_GB2312" w:cs="仿宋_GB2312" w:eastAsia="仿宋_GB2312"/>
                      <w:sz w:val="20"/>
                    </w:rPr>
                    <w:t>待遇</w:t>
                  </w:r>
                  <w:r>
                    <w:rPr>
                      <w:rFonts w:ascii="仿宋_GB2312" w:hAnsi="仿宋_GB2312" w:cs="仿宋_GB2312" w:eastAsia="仿宋_GB2312"/>
                      <w:sz w:val="20"/>
                    </w:rPr>
                    <w:t>测算、档案查询等功能。</w:t>
                  </w:r>
                </w:p>
              </w:tc>
            </w:tr>
          </w:tbl>
          <w:p>
            <w:pPr>
              <w:pStyle w:val="null3"/>
              <w:spacing w:before="120" w:after="120"/>
              <w:jc w:val="left"/>
              <w:outlineLvl w:val="2"/>
            </w:pPr>
            <w:r>
              <w:rPr>
                <w:rFonts w:ascii="仿宋_GB2312" w:hAnsi="仿宋_GB2312" w:cs="仿宋_GB2312" w:eastAsia="仿宋_GB2312"/>
                <w:sz w:val="24"/>
                <w:b/>
              </w:rPr>
              <w:t>3.</w:t>
            </w:r>
            <w:r>
              <w:rPr>
                <w:rFonts w:ascii="仿宋_GB2312" w:hAnsi="仿宋_GB2312" w:cs="仿宋_GB2312" w:eastAsia="仿宋_GB2312"/>
                <w:sz w:val="24"/>
                <w:b/>
              </w:rPr>
              <w:t>运维服务时间</w:t>
            </w:r>
          </w:p>
          <w:p>
            <w:pPr>
              <w:pStyle w:val="null3"/>
              <w:ind w:firstLine="402"/>
              <w:jc w:val="left"/>
            </w:pPr>
            <w:r>
              <w:rPr>
                <w:rFonts w:ascii="仿宋_GB2312" w:hAnsi="仿宋_GB2312" w:cs="仿宋_GB2312" w:eastAsia="仿宋_GB2312"/>
                <w:sz w:val="20"/>
                <w:b/>
              </w:rPr>
              <w:t>3.1</w:t>
            </w:r>
            <w:r>
              <w:rPr>
                <w:rFonts w:ascii="仿宋_GB2312" w:hAnsi="仿宋_GB2312" w:cs="仿宋_GB2312" w:eastAsia="仿宋_GB2312"/>
                <w:sz w:val="20"/>
                <w:b/>
              </w:rPr>
              <w:t>运行维护工期</w:t>
            </w:r>
          </w:p>
          <w:p>
            <w:pPr>
              <w:pStyle w:val="null3"/>
              <w:ind w:firstLine="400"/>
              <w:jc w:val="left"/>
            </w:pPr>
            <w:r>
              <w:rPr>
                <w:rFonts w:ascii="仿宋_GB2312" w:hAnsi="仿宋_GB2312" w:cs="仿宋_GB2312" w:eastAsia="仿宋_GB2312"/>
                <w:sz w:val="20"/>
              </w:rPr>
              <w:t xml:space="preserve">14个月   </w:t>
            </w:r>
          </w:p>
          <w:p>
            <w:pPr>
              <w:pStyle w:val="null3"/>
              <w:ind w:firstLine="402"/>
              <w:jc w:val="left"/>
            </w:pPr>
            <w:r>
              <w:rPr>
                <w:rFonts w:ascii="仿宋_GB2312" w:hAnsi="仿宋_GB2312" w:cs="仿宋_GB2312" w:eastAsia="仿宋_GB2312"/>
                <w:sz w:val="20"/>
                <w:b/>
              </w:rPr>
              <w:t xml:space="preserve">3.2 </w:t>
            </w:r>
            <w:r>
              <w:rPr>
                <w:rFonts w:ascii="仿宋_GB2312" w:hAnsi="仿宋_GB2312" w:cs="仿宋_GB2312" w:eastAsia="仿宋_GB2312"/>
                <w:sz w:val="20"/>
                <w:b/>
              </w:rPr>
              <w:t>改造</w:t>
            </w:r>
            <w:r>
              <w:rPr>
                <w:rFonts w:ascii="仿宋_GB2312" w:hAnsi="仿宋_GB2312" w:cs="仿宋_GB2312" w:eastAsia="仿宋_GB2312"/>
                <w:sz w:val="20"/>
                <w:b/>
              </w:rPr>
              <w:t>项目</w:t>
            </w:r>
            <w:r>
              <w:rPr>
                <w:rFonts w:ascii="仿宋_GB2312" w:hAnsi="仿宋_GB2312" w:cs="仿宋_GB2312" w:eastAsia="仿宋_GB2312"/>
                <w:sz w:val="20"/>
                <w:b/>
              </w:rPr>
              <w:t>工期</w:t>
            </w:r>
          </w:p>
          <w:p>
            <w:pPr>
              <w:pStyle w:val="null3"/>
              <w:spacing w:after="120"/>
              <w:jc w:val="both"/>
            </w:pPr>
            <w:r>
              <w:rPr>
                <w:rFonts w:ascii="仿宋_GB2312" w:hAnsi="仿宋_GB2312" w:cs="仿宋_GB2312" w:eastAsia="仿宋_GB2312"/>
                <w:sz w:val="21"/>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6个月</w:t>
            </w:r>
          </w:p>
          <w:p>
            <w:pPr>
              <w:pStyle w:val="null3"/>
              <w:spacing w:before="120" w:after="120"/>
              <w:jc w:val="left"/>
              <w:outlineLvl w:val="2"/>
            </w:pPr>
            <w:r>
              <w:rPr>
                <w:rFonts w:ascii="仿宋_GB2312" w:hAnsi="仿宋_GB2312" w:cs="仿宋_GB2312" w:eastAsia="仿宋_GB2312"/>
                <w:sz w:val="24"/>
                <w:b/>
              </w:rPr>
              <w:t>4.</w:t>
            </w:r>
            <w:r>
              <w:rPr>
                <w:rFonts w:ascii="仿宋_GB2312" w:hAnsi="仿宋_GB2312" w:cs="仿宋_GB2312" w:eastAsia="仿宋_GB2312"/>
                <w:sz w:val="24"/>
                <w:b/>
              </w:rPr>
              <w:t>运维服务内容</w:t>
            </w:r>
          </w:p>
          <w:p>
            <w:pPr>
              <w:pStyle w:val="null3"/>
              <w:spacing w:before="285" w:after="285"/>
              <w:jc w:val="both"/>
              <w:outlineLvl w:val="3"/>
            </w:pPr>
            <w:r>
              <w:rPr>
                <w:rFonts w:ascii="仿宋_GB2312" w:hAnsi="仿宋_GB2312" w:cs="仿宋_GB2312" w:eastAsia="仿宋_GB2312"/>
                <w:sz w:val="20"/>
                <w:b/>
              </w:rPr>
              <w:t>4.1</w:t>
            </w:r>
            <w:r>
              <w:rPr>
                <w:rFonts w:ascii="仿宋_GB2312" w:hAnsi="仿宋_GB2312" w:cs="仿宋_GB2312" w:eastAsia="仿宋_GB2312"/>
                <w:sz w:val="20"/>
                <w:b/>
              </w:rPr>
              <w:t>确保正常运行</w:t>
            </w:r>
          </w:p>
          <w:p>
            <w:pPr>
              <w:pStyle w:val="null3"/>
              <w:ind w:firstLine="400"/>
              <w:jc w:val="left"/>
            </w:pPr>
            <w:r>
              <w:rPr>
                <w:rFonts w:ascii="仿宋_GB2312" w:hAnsi="仿宋_GB2312" w:cs="仿宋_GB2312" w:eastAsia="仿宋_GB2312"/>
                <w:sz w:val="20"/>
              </w:rPr>
              <w:t>运维服务单位需要提供5*8*</w:t>
            </w:r>
            <w:r>
              <w:rPr>
                <w:rFonts w:ascii="仿宋_GB2312" w:hAnsi="仿宋_GB2312" w:cs="仿宋_GB2312" w:eastAsia="仿宋_GB2312"/>
                <w:sz w:val="20"/>
              </w:rPr>
              <w:t>14月</w:t>
            </w:r>
            <w:r>
              <w:rPr>
                <w:rFonts w:ascii="仿宋_GB2312" w:hAnsi="仿宋_GB2312" w:cs="仿宋_GB2312" w:eastAsia="仿宋_GB2312"/>
                <w:sz w:val="20"/>
              </w:rPr>
              <w:t>的现场运行维护服务和7*24小时的电话支持服务，节</w:t>
            </w:r>
            <w:r>
              <w:rPr>
                <w:rFonts w:ascii="仿宋_GB2312" w:hAnsi="仿宋_GB2312" w:cs="仿宋_GB2312" w:eastAsia="仿宋_GB2312"/>
                <w:sz w:val="20"/>
              </w:rPr>
              <w:t>假日期间须有专人值守，重大活动期间保证7*24小时不间断服务，以保证应用系统不间断运行。在确需停机的情况下，应配合采购单位及采购单位指定的硬件、网络运维服务商，做好系统的停机、恢复操作。</w:t>
            </w:r>
          </w:p>
          <w:p>
            <w:pPr>
              <w:pStyle w:val="null3"/>
              <w:spacing w:before="285" w:after="285"/>
              <w:jc w:val="both"/>
              <w:outlineLvl w:val="3"/>
            </w:pPr>
            <w:r>
              <w:rPr>
                <w:rFonts w:ascii="仿宋_GB2312" w:hAnsi="仿宋_GB2312" w:cs="仿宋_GB2312" w:eastAsia="仿宋_GB2312"/>
                <w:sz w:val="20"/>
                <w:b/>
              </w:rPr>
              <w:t>4.2</w:t>
            </w:r>
            <w:r>
              <w:rPr>
                <w:rFonts w:ascii="仿宋_GB2312" w:hAnsi="仿宋_GB2312" w:cs="仿宋_GB2312" w:eastAsia="仿宋_GB2312"/>
                <w:sz w:val="20"/>
                <w:b/>
              </w:rPr>
              <w:t>系统调整优化</w:t>
            </w:r>
          </w:p>
          <w:p>
            <w:pPr>
              <w:pStyle w:val="null3"/>
              <w:ind w:firstLine="400"/>
              <w:jc w:val="left"/>
            </w:pPr>
            <w:r>
              <w:rPr>
                <w:rFonts w:ascii="仿宋_GB2312" w:hAnsi="仿宋_GB2312" w:cs="仿宋_GB2312" w:eastAsia="仿宋_GB2312"/>
                <w:sz w:val="20"/>
              </w:rPr>
              <w:t>4.2.1功能变更管理。针对采购单位应用系统软件功能变更的需求，双方在明确界定变更的需求规格基础上，完成分析、设计、开发、测试、部署、上线工作，确保变更需求功能及时投入使用。</w:t>
            </w:r>
          </w:p>
          <w:p>
            <w:pPr>
              <w:pStyle w:val="null3"/>
              <w:ind w:firstLine="400"/>
              <w:jc w:val="left"/>
            </w:pPr>
            <w:r>
              <w:rPr>
                <w:rFonts w:ascii="仿宋_GB2312" w:hAnsi="仿宋_GB2312" w:cs="仿宋_GB2312" w:eastAsia="仿宋_GB2312"/>
                <w:sz w:val="20"/>
              </w:rPr>
              <w:t>4.2.2功能新增管理。根据采购单位对应用系统软件新增功能的即时性需求，在明确界定新增业务功能的需求规格基础上，分析、设计、开发、测试、部署、上线工作，确保新增需求功能及时投入使用。</w:t>
            </w:r>
          </w:p>
          <w:p>
            <w:pPr>
              <w:pStyle w:val="null3"/>
              <w:ind w:firstLine="400"/>
              <w:jc w:val="left"/>
            </w:pPr>
            <w:r>
              <w:rPr>
                <w:rFonts w:ascii="仿宋_GB2312" w:hAnsi="仿宋_GB2312" w:cs="仿宋_GB2312" w:eastAsia="仿宋_GB2312"/>
                <w:sz w:val="20"/>
              </w:rPr>
              <w:t>4.2.3系统升级服务。在项目运维服务期间，运维服务单位需要针对应用软件系统平台架构进行必要的升级处理，以便使应用软件技术平台架构更加适合实际业务需要的实际需要。主要包括：应用软件程序代码升级、系统技术平台架构升级等。</w:t>
            </w:r>
          </w:p>
          <w:p>
            <w:pPr>
              <w:pStyle w:val="null3"/>
              <w:ind w:firstLine="400"/>
              <w:jc w:val="left"/>
            </w:pPr>
            <w:r>
              <w:rPr>
                <w:rFonts w:ascii="仿宋_GB2312" w:hAnsi="仿宋_GB2312" w:cs="仿宋_GB2312" w:eastAsia="仿宋_GB2312"/>
                <w:sz w:val="20"/>
              </w:rPr>
              <w:t>4.2.4性能优化服务。在项目运维服务期间，运维服务单位需要不断持续改进、优化且提升应用软件的性能，以满足人社业务不断增长的实际需要。性能优化主要包括以下几个方面：应用软件程序优化、数据库配置优化、业务流程优化、技术平台程序优化等。</w:t>
            </w:r>
          </w:p>
          <w:p>
            <w:pPr>
              <w:pStyle w:val="null3"/>
              <w:ind w:firstLine="400"/>
              <w:jc w:val="left"/>
            </w:pPr>
            <w:r>
              <w:rPr>
                <w:rFonts w:ascii="仿宋_GB2312" w:hAnsi="仿宋_GB2312" w:cs="仿宋_GB2312" w:eastAsia="仿宋_GB2312"/>
                <w:sz w:val="20"/>
              </w:rPr>
              <w:t>4.2.5数据服务。在项目运维服务期间，运维服务单位协助使用人员管理由于历史或其他原因造成而必须手工处理的数据。主要包括历史数据修改、数据统计、数据库结构调整等。</w:t>
            </w:r>
          </w:p>
          <w:p>
            <w:pPr>
              <w:pStyle w:val="null3"/>
              <w:ind w:firstLine="400"/>
              <w:jc w:val="left"/>
            </w:pPr>
            <w:r>
              <w:rPr>
                <w:rFonts w:ascii="仿宋_GB2312" w:hAnsi="仿宋_GB2312" w:cs="仿宋_GB2312" w:eastAsia="仿宋_GB2312"/>
                <w:sz w:val="20"/>
              </w:rPr>
              <w:t>4.2.6数据接口服务。在项目运维服务期间，运维服务单位需要根据采购单位确定的内容和形式，提供必要的数据接口服务及对应说明文档，并向数据接口使用单位提供必要的测试数据，配合进行联调测试，以确保各应用系统之间的数据共享、业务协同。</w:t>
            </w:r>
          </w:p>
          <w:p>
            <w:pPr>
              <w:pStyle w:val="null3"/>
              <w:spacing w:before="285" w:after="285"/>
              <w:jc w:val="both"/>
              <w:outlineLvl w:val="3"/>
            </w:pPr>
            <w:r>
              <w:rPr>
                <w:rFonts w:ascii="仿宋_GB2312" w:hAnsi="仿宋_GB2312" w:cs="仿宋_GB2312" w:eastAsia="仿宋_GB2312"/>
                <w:sz w:val="20"/>
                <w:b/>
              </w:rPr>
              <w:t>4.3</w:t>
            </w:r>
            <w:r>
              <w:rPr>
                <w:rFonts w:ascii="仿宋_GB2312" w:hAnsi="仿宋_GB2312" w:cs="仿宋_GB2312" w:eastAsia="仿宋_GB2312"/>
                <w:sz w:val="20"/>
                <w:b/>
              </w:rPr>
              <w:t>系统培训服务</w:t>
            </w:r>
          </w:p>
          <w:p>
            <w:pPr>
              <w:pStyle w:val="null3"/>
              <w:ind w:firstLine="400"/>
              <w:jc w:val="left"/>
            </w:pPr>
            <w:r>
              <w:rPr>
                <w:rFonts w:ascii="仿宋_GB2312" w:hAnsi="仿宋_GB2312" w:cs="仿宋_GB2312" w:eastAsia="仿宋_GB2312"/>
                <w:sz w:val="20"/>
              </w:rPr>
              <w:t>项目运维服务期间，运维服务单位应定期（不少于季度）组织系统使用和管理人员的培训，培训内容包括当期升级的内容、当期FAQ的更新情况、下季度系统更新计划等。</w:t>
            </w:r>
          </w:p>
          <w:p>
            <w:pPr>
              <w:pStyle w:val="null3"/>
              <w:spacing w:before="285" w:after="285"/>
              <w:jc w:val="both"/>
              <w:outlineLvl w:val="3"/>
            </w:pPr>
            <w:r>
              <w:rPr>
                <w:rFonts w:ascii="仿宋_GB2312" w:hAnsi="仿宋_GB2312" w:cs="仿宋_GB2312" w:eastAsia="仿宋_GB2312"/>
                <w:sz w:val="20"/>
                <w:b/>
              </w:rPr>
              <w:t>4.4</w:t>
            </w:r>
            <w:r>
              <w:rPr>
                <w:rFonts w:ascii="仿宋_GB2312" w:hAnsi="仿宋_GB2312" w:cs="仿宋_GB2312" w:eastAsia="仿宋_GB2312"/>
                <w:sz w:val="20"/>
                <w:b/>
              </w:rPr>
              <w:t>系统咨询服务</w:t>
            </w:r>
          </w:p>
          <w:p>
            <w:pPr>
              <w:pStyle w:val="null3"/>
              <w:ind w:firstLine="400"/>
              <w:jc w:val="left"/>
            </w:pPr>
            <w:r>
              <w:rPr>
                <w:rFonts w:ascii="仿宋_GB2312" w:hAnsi="仿宋_GB2312" w:cs="仿宋_GB2312" w:eastAsia="仿宋_GB2312"/>
                <w:sz w:val="20"/>
              </w:rPr>
              <w:t>运维服务单位针对采购单位新的或重大变更的业务信息化提出咨询意见。包括安排相关技术或者业务专家到现场提供新建应用系统的部署、重大问题处理，以及系统评估与技术咨询服务</w:t>
            </w:r>
          </w:p>
          <w:p>
            <w:pPr>
              <w:pStyle w:val="null3"/>
              <w:spacing w:before="285" w:after="285"/>
              <w:jc w:val="both"/>
              <w:outlineLvl w:val="3"/>
            </w:pPr>
            <w:r>
              <w:rPr>
                <w:rFonts w:ascii="仿宋_GB2312" w:hAnsi="仿宋_GB2312" w:cs="仿宋_GB2312" w:eastAsia="仿宋_GB2312"/>
                <w:sz w:val="20"/>
                <w:b/>
              </w:rPr>
              <w:t>4.5</w:t>
            </w:r>
            <w:r>
              <w:rPr>
                <w:rFonts w:ascii="仿宋_GB2312" w:hAnsi="仿宋_GB2312" w:cs="仿宋_GB2312" w:eastAsia="仿宋_GB2312"/>
                <w:sz w:val="20"/>
                <w:b/>
              </w:rPr>
              <w:t>项目文档管理</w:t>
            </w:r>
          </w:p>
          <w:p>
            <w:pPr>
              <w:pStyle w:val="null3"/>
              <w:ind w:firstLine="400"/>
              <w:jc w:val="left"/>
            </w:pPr>
            <w:r>
              <w:rPr>
                <w:rFonts w:ascii="仿宋_GB2312" w:hAnsi="仿宋_GB2312" w:cs="仿宋_GB2312" w:eastAsia="仿宋_GB2312"/>
                <w:sz w:val="20"/>
              </w:rPr>
              <w:t>运维服务单位必须提供维护全过程的文档，并定期或在重大功能变更后更新相关文档。服务期结束时需将项目的全部有关技术文件、资料及软件维护、修改记录、程序发布记录和验收报告等文档汇集成册交付采购单位。</w:t>
            </w:r>
          </w:p>
          <w:p>
            <w:pPr>
              <w:pStyle w:val="null3"/>
              <w:spacing w:before="285" w:after="285"/>
              <w:jc w:val="both"/>
              <w:outlineLvl w:val="3"/>
            </w:pPr>
            <w:r>
              <w:rPr>
                <w:rFonts w:ascii="仿宋_GB2312" w:hAnsi="仿宋_GB2312" w:cs="仿宋_GB2312" w:eastAsia="仿宋_GB2312"/>
                <w:sz w:val="20"/>
                <w:b/>
              </w:rPr>
              <w:t>4.6</w:t>
            </w:r>
            <w:r>
              <w:rPr>
                <w:rFonts w:ascii="仿宋_GB2312" w:hAnsi="仿宋_GB2312" w:cs="仿宋_GB2312" w:eastAsia="仿宋_GB2312"/>
                <w:sz w:val="20"/>
                <w:b/>
              </w:rPr>
              <w:t>系统数据安全服务</w:t>
            </w:r>
          </w:p>
          <w:p>
            <w:pPr>
              <w:pStyle w:val="null3"/>
              <w:ind w:firstLine="400"/>
              <w:jc w:val="both"/>
            </w:pPr>
            <w:r>
              <w:rPr>
                <w:rFonts w:ascii="仿宋_GB2312" w:hAnsi="仿宋_GB2312" w:cs="仿宋_GB2312" w:eastAsia="仿宋_GB2312"/>
                <w:sz w:val="20"/>
              </w:rPr>
              <w:t>在项目运维服务期间，运维服务单位保证系统数据安全，系统上线前进行数据逻辑性和有效性检查，定期进行代码安全扫描和整改，定级进行jar包等安全补丁升级等。</w:t>
            </w:r>
          </w:p>
          <w:p>
            <w:pPr>
              <w:pStyle w:val="null3"/>
              <w:spacing w:before="285" w:after="285"/>
              <w:jc w:val="both"/>
              <w:outlineLvl w:val="3"/>
            </w:pPr>
            <w:r>
              <w:rPr>
                <w:rFonts w:ascii="仿宋_GB2312" w:hAnsi="仿宋_GB2312" w:cs="仿宋_GB2312" w:eastAsia="仿宋_GB2312"/>
                <w:sz w:val="20"/>
                <w:b/>
              </w:rPr>
              <w:t>4.7</w:t>
            </w:r>
            <w:r>
              <w:rPr>
                <w:rFonts w:ascii="仿宋_GB2312" w:hAnsi="仿宋_GB2312" w:cs="仿宋_GB2312" w:eastAsia="仿宋_GB2312"/>
                <w:sz w:val="20"/>
                <w:b/>
              </w:rPr>
              <w:t>系统应急服务</w:t>
            </w:r>
          </w:p>
          <w:p>
            <w:pPr>
              <w:pStyle w:val="null3"/>
              <w:ind w:firstLine="400"/>
              <w:jc w:val="both"/>
            </w:pPr>
            <w:r>
              <w:rPr>
                <w:rFonts w:ascii="仿宋_GB2312" w:hAnsi="仿宋_GB2312" w:cs="仿宋_GB2312" w:eastAsia="仿宋_GB2312"/>
                <w:sz w:val="20"/>
              </w:rPr>
              <w:t>针对系统可能出现的问题及突发事件，运维服务单位提供具体可行的应急预案，包括响应时间、应急解决措施等。</w:t>
            </w:r>
          </w:p>
          <w:p>
            <w:pPr>
              <w:pStyle w:val="null3"/>
              <w:spacing w:before="120" w:after="120"/>
              <w:jc w:val="left"/>
              <w:outlineLvl w:val="2"/>
            </w:pPr>
            <w:r>
              <w:rPr>
                <w:rFonts w:ascii="仿宋_GB2312" w:hAnsi="仿宋_GB2312" w:cs="仿宋_GB2312" w:eastAsia="仿宋_GB2312"/>
                <w:sz w:val="24"/>
                <w:b/>
              </w:rPr>
              <w:t>5.</w:t>
            </w:r>
            <w:r>
              <w:rPr>
                <w:rFonts w:ascii="仿宋_GB2312" w:hAnsi="仿宋_GB2312" w:cs="仿宋_GB2312" w:eastAsia="仿宋_GB2312"/>
                <w:sz w:val="24"/>
                <w:b/>
              </w:rPr>
              <w:t>运行维护要求</w:t>
            </w:r>
          </w:p>
          <w:p>
            <w:pPr>
              <w:pStyle w:val="null3"/>
              <w:ind w:firstLine="400"/>
              <w:jc w:val="left"/>
            </w:pPr>
            <w:r>
              <w:rPr>
                <w:rFonts w:ascii="仿宋_GB2312" w:hAnsi="仿宋_GB2312" w:cs="仿宋_GB2312" w:eastAsia="仿宋_GB2312"/>
                <w:sz w:val="20"/>
              </w:rPr>
              <w:t>5.1提供本地化售后服务。驻场人员，要求专人专岗，在采购人指定地点提供现场运维服务；非驻场人员，不要求专人专岗，不指定服务地点。服务人员需熟悉陕西省人力资源社会保障业务。</w:t>
            </w:r>
          </w:p>
          <w:p>
            <w:pPr>
              <w:pStyle w:val="null3"/>
              <w:ind w:firstLine="400"/>
              <w:jc w:val="left"/>
            </w:pPr>
            <w:r>
              <w:rPr>
                <w:rFonts w:ascii="仿宋_GB2312" w:hAnsi="仿宋_GB2312" w:cs="仿宋_GB2312" w:eastAsia="仿宋_GB2312"/>
                <w:sz w:val="20"/>
              </w:rPr>
              <w:t>5.2每周</w:t>
            </w:r>
            <w:r>
              <w:rPr>
                <w:rFonts w:ascii="仿宋_GB2312" w:hAnsi="仿宋_GB2312" w:cs="仿宋_GB2312" w:eastAsia="仿宋_GB2312"/>
                <w:sz w:val="20"/>
              </w:rPr>
              <w:t>向采购人</w:t>
            </w:r>
            <w:r>
              <w:rPr>
                <w:rFonts w:ascii="仿宋_GB2312" w:hAnsi="仿宋_GB2312" w:cs="仿宋_GB2312" w:eastAsia="仿宋_GB2312"/>
                <w:sz w:val="20"/>
              </w:rPr>
              <w:t>提交工作周报，内容包括本周工作主要内容及重要事项，每个工作人员工作任务及完成情况，下周工作安排及需要采购人配合的工作要求。</w:t>
            </w:r>
          </w:p>
          <w:p>
            <w:pPr>
              <w:pStyle w:val="null3"/>
              <w:ind w:firstLine="400"/>
              <w:jc w:val="left"/>
            </w:pPr>
            <w:r>
              <w:rPr>
                <w:rFonts w:ascii="仿宋_GB2312" w:hAnsi="仿宋_GB2312" w:cs="仿宋_GB2312" w:eastAsia="仿宋_GB2312"/>
                <w:sz w:val="20"/>
              </w:rPr>
              <w:t>5.3建立运维手册，每月末需将本月用户提交的运行维护需求、电话咨询记录、数据修改工作任务单等装订成册并提交。</w:t>
            </w:r>
          </w:p>
          <w:p>
            <w:pPr>
              <w:pStyle w:val="null3"/>
              <w:ind w:firstLine="400"/>
              <w:jc w:val="left"/>
            </w:pPr>
            <w:r>
              <w:rPr>
                <w:rFonts w:ascii="仿宋_GB2312" w:hAnsi="仿宋_GB2312" w:cs="仿宋_GB2312" w:eastAsia="仿宋_GB2312"/>
                <w:sz w:val="20"/>
              </w:rPr>
              <w:t>5.4系统真正可用并且完全运行的时间所占的百分比大于99.5%。采购人要求的停机，或由于第三方原因造成的停机时间除外。</w:t>
            </w:r>
          </w:p>
          <w:p>
            <w:pPr>
              <w:pStyle w:val="null3"/>
              <w:spacing w:before="120" w:after="120"/>
              <w:jc w:val="left"/>
              <w:outlineLvl w:val="2"/>
            </w:pPr>
            <w:r>
              <w:rPr>
                <w:rFonts w:ascii="仿宋_GB2312" w:hAnsi="仿宋_GB2312" w:cs="仿宋_GB2312" w:eastAsia="仿宋_GB2312"/>
                <w:sz w:val="24"/>
                <w:b/>
              </w:rPr>
              <w:t xml:space="preserve">6. </w:t>
            </w:r>
            <w:r>
              <w:rPr>
                <w:rFonts w:ascii="仿宋_GB2312" w:hAnsi="仿宋_GB2312" w:cs="仿宋_GB2312" w:eastAsia="仿宋_GB2312"/>
                <w:sz w:val="24"/>
                <w:b/>
              </w:rPr>
              <w:t>服务质量考评</w:t>
            </w:r>
          </w:p>
          <w:p>
            <w:pPr>
              <w:pStyle w:val="null3"/>
              <w:ind w:firstLine="400"/>
              <w:jc w:val="left"/>
            </w:pPr>
            <w:r>
              <w:rPr>
                <w:rFonts w:ascii="仿宋_GB2312" w:hAnsi="仿宋_GB2312" w:cs="仿宋_GB2312" w:eastAsia="仿宋_GB2312"/>
                <w:sz w:val="20"/>
              </w:rPr>
              <w:t>考评的主要指标和分值如下：</w:t>
            </w:r>
          </w:p>
          <w:p>
            <w:pPr>
              <w:pStyle w:val="null3"/>
              <w:ind w:firstLine="402"/>
              <w:jc w:val="left"/>
            </w:pPr>
            <w:r>
              <w:rPr>
                <w:rFonts w:ascii="仿宋_GB2312" w:hAnsi="仿宋_GB2312" w:cs="仿宋_GB2312" w:eastAsia="仿宋_GB2312"/>
                <w:sz w:val="20"/>
                <w:b/>
              </w:rPr>
              <w:t>6.1运维任务执行情况（50分）</w:t>
            </w:r>
          </w:p>
          <w:p>
            <w:pPr>
              <w:pStyle w:val="null3"/>
              <w:ind w:firstLine="400"/>
              <w:jc w:val="left"/>
            </w:pPr>
            <w:r>
              <w:rPr>
                <w:rFonts w:ascii="仿宋_GB2312" w:hAnsi="仿宋_GB2312" w:cs="仿宋_GB2312" w:eastAsia="仿宋_GB2312"/>
                <w:sz w:val="20"/>
              </w:rPr>
              <w:t>中标人要严格按照运维服务的要求，开展运维服务工作，运维任务主要执行考核内容如下：</w:t>
            </w:r>
          </w:p>
          <w:p>
            <w:pPr>
              <w:pStyle w:val="null3"/>
              <w:ind w:firstLine="400"/>
              <w:jc w:val="left"/>
            </w:pPr>
            <w:r>
              <w:rPr>
                <w:rFonts w:ascii="仿宋_GB2312" w:hAnsi="仿宋_GB2312" w:cs="仿宋_GB2312" w:eastAsia="仿宋_GB2312"/>
                <w:sz w:val="20"/>
              </w:rPr>
              <w:t>中标人及时响应系统故障，运维服务期内未出现重大安全事故（重要业务系统中断1个小时以上）。总计</w:t>
            </w:r>
            <w:r>
              <w:rPr>
                <w:rFonts w:ascii="仿宋_GB2312" w:hAnsi="仿宋_GB2312" w:cs="仿宋_GB2312" w:eastAsia="仿宋_GB2312"/>
                <w:sz w:val="20"/>
              </w:rPr>
              <w:t>10分，如出现1次</w:t>
            </w:r>
            <w:r>
              <w:rPr>
                <w:rFonts w:ascii="仿宋_GB2312" w:hAnsi="仿宋_GB2312" w:cs="仿宋_GB2312" w:eastAsia="仿宋_GB2312"/>
                <w:sz w:val="20"/>
              </w:rPr>
              <w:t>安全事故</w:t>
            </w:r>
            <w:r>
              <w:rPr>
                <w:rFonts w:ascii="仿宋_GB2312" w:hAnsi="仿宋_GB2312" w:cs="仿宋_GB2312" w:eastAsia="仿宋_GB2312"/>
                <w:sz w:val="20"/>
              </w:rPr>
              <w:t>，扣2分。</w:t>
            </w:r>
          </w:p>
          <w:p>
            <w:pPr>
              <w:pStyle w:val="null3"/>
              <w:ind w:firstLine="400"/>
              <w:jc w:val="left"/>
            </w:pPr>
            <w:r>
              <w:rPr>
                <w:rFonts w:ascii="仿宋_GB2312" w:hAnsi="仿宋_GB2312" w:cs="仿宋_GB2312" w:eastAsia="仿宋_GB2312"/>
                <w:sz w:val="20"/>
              </w:rPr>
              <w:t>运维服务期内，运维人员能够及时7×24小时响应和处理故障发生，未发生延误处理情况，现场支持小于30分钟，故障处理小于72小时。总计</w:t>
            </w:r>
            <w:r>
              <w:rPr>
                <w:rFonts w:ascii="仿宋_GB2312" w:hAnsi="仿宋_GB2312" w:cs="仿宋_GB2312" w:eastAsia="仿宋_GB2312"/>
                <w:sz w:val="20"/>
              </w:rPr>
              <w:t>10分，如未按照时间要求处理1次扣2分。</w:t>
            </w:r>
          </w:p>
          <w:p>
            <w:pPr>
              <w:pStyle w:val="null3"/>
              <w:ind w:firstLine="400"/>
              <w:jc w:val="left"/>
            </w:pPr>
            <w:r>
              <w:rPr>
                <w:rFonts w:ascii="仿宋_GB2312" w:hAnsi="仿宋_GB2312" w:cs="仿宋_GB2312" w:eastAsia="仿宋_GB2312"/>
                <w:sz w:val="20"/>
              </w:rPr>
              <w:t>中标人要在运维服务开始后，一个月内组建运维团队并开始运维工作。总计</w:t>
            </w:r>
            <w:r>
              <w:rPr>
                <w:rFonts w:ascii="仿宋_GB2312" w:hAnsi="仿宋_GB2312" w:cs="仿宋_GB2312" w:eastAsia="仿宋_GB2312"/>
                <w:sz w:val="20"/>
              </w:rPr>
              <w:t>5分，如未按期组建团队，每延期一周扣1分。</w:t>
            </w:r>
          </w:p>
          <w:p>
            <w:pPr>
              <w:pStyle w:val="null3"/>
              <w:ind w:firstLine="400"/>
              <w:jc w:val="left"/>
            </w:pPr>
            <w:r>
              <w:rPr>
                <w:rFonts w:ascii="仿宋_GB2312" w:hAnsi="仿宋_GB2312" w:cs="仿宋_GB2312" w:eastAsia="仿宋_GB2312"/>
                <w:sz w:val="20"/>
              </w:rPr>
              <w:t>中标人在服务期内，未出现由于服务能力欠缺导致服务对象投诉的现象。总</w:t>
            </w:r>
            <w:r>
              <w:rPr>
                <w:rFonts w:ascii="仿宋_GB2312" w:hAnsi="仿宋_GB2312" w:cs="仿宋_GB2312" w:eastAsia="仿宋_GB2312"/>
                <w:sz w:val="20"/>
              </w:rPr>
              <w:t>计5分，如出现一次投诉扣1分。</w:t>
            </w:r>
          </w:p>
          <w:p>
            <w:pPr>
              <w:pStyle w:val="null3"/>
              <w:ind w:firstLine="400"/>
              <w:jc w:val="left"/>
            </w:pPr>
            <w:r>
              <w:rPr>
                <w:rFonts w:ascii="仿宋_GB2312" w:hAnsi="仿宋_GB2312" w:cs="仿宋_GB2312" w:eastAsia="仿宋_GB2312"/>
                <w:sz w:val="20"/>
              </w:rPr>
              <w:t>中标人在服务期内，未出现由于运维人员操作失误、设计失误等人为因素导致的系统故障。总计</w:t>
            </w:r>
            <w:r>
              <w:rPr>
                <w:rFonts w:ascii="仿宋_GB2312" w:hAnsi="仿宋_GB2312" w:cs="仿宋_GB2312" w:eastAsia="仿宋_GB2312"/>
                <w:sz w:val="20"/>
              </w:rPr>
              <w:t>10分，如出现1次系统故障扣2分。</w:t>
            </w:r>
          </w:p>
          <w:p>
            <w:pPr>
              <w:pStyle w:val="null3"/>
              <w:ind w:firstLine="400"/>
              <w:jc w:val="left"/>
            </w:pPr>
            <w:r>
              <w:rPr>
                <w:rFonts w:ascii="仿宋_GB2312" w:hAnsi="仿宋_GB2312" w:cs="仿宋_GB2312" w:eastAsia="仿宋_GB2312"/>
                <w:sz w:val="20"/>
              </w:rPr>
              <w:t>中标人协助用户完善省级数据中心IT运维管理制度，定期组织技术专家对系统进行安全性检查和评估。总</w:t>
            </w:r>
            <w:r>
              <w:rPr>
                <w:rFonts w:ascii="仿宋_GB2312" w:hAnsi="仿宋_GB2312" w:cs="仿宋_GB2312" w:eastAsia="仿宋_GB2312"/>
                <w:sz w:val="20"/>
              </w:rPr>
              <w:t>计5分，如出现一次不配合扣1分。</w:t>
            </w:r>
          </w:p>
          <w:p>
            <w:pPr>
              <w:pStyle w:val="null3"/>
              <w:ind w:firstLine="400"/>
              <w:jc w:val="left"/>
            </w:pPr>
            <w:r>
              <w:rPr>
                <w:rFonts w:ascii="仿宋_GB2312" w:hAnsi="仿宋_GB2312" w:cs="仿宋_GB2312" w:eastAsia="仿宋_GB2312"/>
                <w:sz w:val="20"/>
              </w:rPr>
              <w:t>中标人能够协助用户做好新设备的集成调试工作，顺利完成运维范围内的设备部署和集成工作。总</w:t>
            </w:r>
            <w:r>
              <w:rPr>
                <w:rFonts w:ascii="仿宋_GB2312" w:hAnsi="仿宋_GB2312" w:cs="仿宋_GB2312" w:eastAsia="仿宋_GB2312"/>
                <w:sz w:val="20"/>
              </w:rPr>
              <w:t>计5分，如出现一次不配合扣1分。</w:t>
            </w:r>
          </w:p>
          <w:p>
            <w:pPr>
              <w:pStyle w:val="null3"/>
              <w:ind w:firstLine="402"/>
              <w:jc w:val="left"/>
            </w:pPr>
            <w:r>
              <w:rPr>
                <w:rFonts w:ascii="仿宋_GB2312" w:hAnsi="仿宋_GB2312" w:cs="仿宋_GB2312" w:eastAsia="仿宋_GB2312"/>
                <w:sz w:val="20"/>
                <w:b/>
              </w:rPr>
              <w:t>6.2建立知识共享平台（5分）</w:t>
            </w:r>
          </w:p>
          <w:p>
            <w:pPr>
              <w:pStyle w:val="null3"/>
              <w:ind w:firstLine="400"/>
              <w:jc w:val="left"/>
            </w:pPr>
            <w:r>
              <w:rPr>
                <w:rFonts w:ascii="仿宋_GB2312" w:hAnsi="仿宋_GB2312" w:cs="仿宋_GB2312" w:eastAsia="仿宋_GB2312"/>
                <w:sz w:val="20"/>
              </w:rPr>
              <w:t>中标人为运维人员建立专门的知识共享平台，由专人进行维护，提供常见问题解答、服务经验分享、服务工具下载、系统安全服务等多种服务内容。总</w:t>
            </w:r>
            <w:r>
              <w:rPr>
                <w:rFonts w:ascii="仿宋_GB2312" w:hAnsi="仿宋_GB2312" w:cs="仿宋_GB2312" w:eastAsia="仿宋_GB2312"/>
                <w:sz w:val="20"/>
              </w:rPr>
              <w:t>计5分，未按照要求建立知识共享平台，扣5分。</w:t>
            </w:r>
          </w:p>
          <w:p>
            <w:pPr>
              <w:pStyle w:val="null3"/>
              <w:ind w:firstLine="402"/>
              <w:jc w:val="left"/>
            </w:pPr>
            <w:r>
              <w:rPr>
                <w:rFonts w:ascii="仿宋_GB2312" w:hAnsi="仿宋_GB2312" w:cs="仿宋_GB2312" w:eastAsia="仿宋_GB2312"/>
                <w:sz w:val="20"/>
                <w:b/>
              </w:rPr>
              <w:t>6.3服务回访（10分）</w:t>
            </w:r>
          </w:p>
          <w:p>
            <w:pPr>
              <w:pStyle w:val="null3"/>
              <w:ind w:firstLine="400"/>
              <w:jc w:val="left"/>
            </w:pPr>
            <w:r>
              <w:rPr>
                <w:rFonts w:ascii="仿宋_GB2312" w:hAnsi="仿宋_GB2312" w:cs="仿宋_GB2312" w:eastAsia="仿宋_GB2312"/>
                <w:sz w:val="20"/>
              </w:rPr>
              <w:t>运维人员要对用户提出的问题和已解决的问题在三天内进行跟踪回访，关注问题解决的进程和问题解决后用户的使用效果，对未解决的问题进行重复跟踪直至问题得到解决。总</w:t>
            </w:r>
            <w:r>
              <w:rPr>
                <w:rFonts w:ascii="仿宋_GB2312" w:hAnsi="仿宋_GB2312" w:cs="仿宋_GB2312" w:eastAsia="仿宋_GB2312"/>
                <w:sz w:val="20"/>
              </w:rPr>
              <w:t>计5分，未按照要求对问题进行跟踪回访出现1次，扣1分。</w:t>
            </w:r>
          </w:p>
          <w:p>
            <w:pPr>
              <w:pStyle w:val="null3"/>
              <w:ind w:firstLine="400"/>
              <w:jc w:val="left"/>
            </w:pPr>
            <w:r>
              <w:rPr>
                <w:rFonts w:ascii="仿宋_GB2312" w:hAnsi="仿宋_GB2312" w:cs="仿宋_GB2312" w:eastAsia="仿宋_GB2312"/>
                <w:sz w:val="20"/>
              </w:rPr>
              <w:t>运维人员每月至少两次对主要的业务经办机构进行主动电话回访, 了解整个系统的运行情况，并给予指导。运维项目经理每月至少一次对主要的业务经办机构进行实地回访,在业务经办机构现场了解整个系统的运行情况。总</w:t>
            </w:r>
            <w:r>
              <w:rPr>
                <w:rFonts w:ascii="仿宋_GB2312" w:hAnsi="仿宋_GB2312" w:cs="仿宋_GB2312" w:eastAsia="仿宋_GB2312"/>
                <w:sz w:val="20"/>
              </w:rPr>
              <w:t>计5分，未按月进行电话回访出现1次，扣1分。</w:t>
            </w:r>
          </w:p>
          <w:p>
            <w:pPr>
              <w:pStyle w:val="null3"/>
              <w:ind w:firstLine="402"/>
              <w:jc w:val="left"/>
            </w:pPr>
            <w:r>
              <w:rPr>
                <w:rFonts w:ascii="仿宋_GB2312" w:hAnsi="仿宋_GB2312" w:cs="仿宋_GB2312" w:eastAsia="仿宋_GB2312"/>
                <w:sz w:val="20"/>
                <w:b/>
              </w:rPr>
              <w:t>6.4服务文档报表（5分）</w:t>
            </w:r>
          </w:p>
          <w:p>
            <w:pPr>
              <w:pStyle w:val="null3"/>
              <w:ind w:firstLine="400"/>
              <w:jc w:val="left"/>
            </w:pPr>
            <w:r>
              <w:rPr>
                <w:rFonts w:ascii="仿宋_GB2312" w:hAnsi="仿宋_GB2312" w:cs="仿宋_GB2312" w:eastAsia="仿宋_GB2312"/>
                <w:sz w:val="20"/>
              </w:rPr>
              <w:t>电话服务支持记录以及现场服务记录每星期进行汇总，形成周报。每月形成月报，分类汇总产生的问题及各区县问题解决情况表和遗留问题表。每个季度将其单位的问题进行汇总编并制成维护知识文档和总结报告，并交给客户存档。总</w:t>
            </w:r>
            <w:r>
              <w:rPr>
                <w:rFonts w:ascii="仿宋_GB2312" w:hAnsi="仿宋_GB2312" w:cs="仿宋_GB2312" w:eastAsia="仿宋_GB2312"/>
                <w:sz w:val="20"/>
              </w:rPr>
              <w:t>计5分，未按照要求进行汇报出现1次，扣1分。</w:t>
            </w:r>
          </w:p>
          <w:p>
            <w:pPr>
              <w:pStyle w:val="null3"/>
              <w:ind w:firstLine="402"/>
              <w:jc w:val="left"/>
            </w:pPr>
            <w:r>
              <w:rPr>
                <w:rFonts w:ascii="仿宋_GB2312" w:hAnsi="仿宋_GB2312" w:cs="仿宋_GB2312" w:eastAsia="仿宋_GB2312"/>
                <w:sz w:val="20"/>
                <w:b/>
              </w:rPr>
              <w:t>6.5运维服务人员管理机制（10分）</w:t>
            </w:r>
          </w:p>
          <w:p>
            <w:pPr>
              <w:pStyle w:val="null3"/>
              <w:ind w:firstLine="400"/>
              <w:jc w:val="left"/>
            </w:pPr>
            <w:r>
              <w:rPr>
                <w:rFonts w:ascii="仿宋_GB2312" w:hAnsi="仿宋_GB2312" w:cs="仿宋_GB2312" w:eastAsia="仿宋_GB2312"/>
                <w:sz w:val="20"/>
              </w:rPr>
              <w:t>（1）严格保证用户数据的安全性，严禁发生泄露用户机密数据或恶意攻击用户数据等违法行为。总</w:t>
            </w:r>
            <w:r>
              <w:rPr>
                <w:rFonts w:ascii="仿宋_GB2312" w:hAnsi="仿宋_GB2312" w:cs="仿宋_GB2312" w:eastAsia="仿宋_GB2312"/>
                <w:sz w:val="20"/>
              </w:rPr>
              <w:t>计5分，出现数据泄露情况1次，扣1分。</w:t>
            </w:r>
          </w:p>
          <w:p>
            <w:pPr>
              <w:pStyle w:val="null3"/>
              <w:ind w:firstLine="400"/>
              <w:jc w:val="left"/>
            </w:pPr>
            <w:r>
              <w:rPr>
                <w:rFonts w:ascii="仿宋_GB2312" w:hAnsi="仿宋_GB2312" w:cs="仿宋_GB2312" w:eastAsia="仿宋_GB2312"/>
                <w:sz w:val="20"/>
              </w:rPr>
              <w:t>（2）运维服务单位必须7×24小时响应用户，服务人员不得以任何借口拖延解决时间。总</w:t>
            </w:r>
            <w:r>
              <w:rPr>
                <w:rFonts w:ascii="仿宋_GB2312" w:hAnsi="仿宋_GB2312" w:cs="仿宋_GB2312" w:eastAsia="仿宋_GB2312"/>
                <w:sz w:val="20"/>
              </w:rPr>
              <w:t>计5分，出现各种</w:t>
            </w:r>
            <w:r>
              <w:rPr>
                <w:rFonts w:ascii="仿宋_GB2312" w:hAnsi="仿宋_GB2312" w:cs="仿宋_GB2312" w:eastAsia="仿宋_GB2312"/>
                <w:sz w:val="20"/>
              </w:rPr>
              <w:t>借口拖延解决时间</w:t>
            </w:r>
            <w:r>
              <w:rPr>
                <w:rFonts w:ascii="仿宋_GB2312" w:hAnsi="仿宋_GB2312" w:cs="仿宋_GB2312" w:eastAsia="仿宋_GB2312"/>
                <w:sz w:val="20"/>
              </w:rPr>
              <w:t>1次，扣1分。</w:t>
            </w:r>
          </w:p>
          <w:p>
            <w:pPr>
              <w:pStyle w:val="null3"/>
              <w:ind w:firstLine="400"/>
              <w:jc w:val="left"/>
            </w:pPr>
            <w:r>
              <w:rPr>
                <w:rFonts w:ascii="仿宋_GB2312" w:hAnsi="仿宋_GB2312" w:cs="仿宋_GB2312" w:eastAsia="仿宋_GB2312"/>
                <w:sz w:val="20"/>
              </w:rPr>
              <w:t>（3）对服务人员每次服务的评价分两部分，一是客户对服务态度的满意度评价，分别为：很满意、满意、一般、不满意；二是对服务效果进行评价，分别为：全部解决、部分解决、未解决。对运维服务单位的服务品评，分为服务态度、技术水平、响应时间及处理效果等四项，每项均按客户的满意状况分为四个程度。</w:t>
            </w:r>
          </w:p>
          <w:p>
            <w:pPr>
              <w:pStyle w:val="null3"/>
              <w:ind w:firstLine="400"/>
              <w:jc w:val="left"/>
            </w:pPr>
            <w:r>
              <w:rPr>
                <w:rFonts w:ascii="仿宋_GB2312" w:hAnsi="仿宋_GB2312" w:cs="仿宋_GB2312" w:eastAsia="仿宋_GB2312"/>
                <w:sz w:val="20"/>
              </w:rPr>
              <w:t>（4）虚心听取用户提出的意见，对客户所提到存在的问题及时进行改进，用户的投诉无论情节大小，都应以予以重视。</w:t>
            </w:r>
          </w:p>
          <w:p>
            <w:pPr>
              <w:pStyle w:val="null3"/>
              <w:ind w:firstLine="402"/>
              <w:jc w:val="left"/>
            </w:pPr>
            <w:r>
              <w:rPr>
                <w:rFonts w:ascii="仿宋_GB2312" w:hAnsi="仿宋_GB2312" w:cs="仿宋_GB2312" w:eastAsia="仿宋_GB2312"/>
                <w:sz w:val="20"/>
                <w:b/>
              </w:rPr>
              <w:t>6.6用户评价机制（10分）</w:t>
            </w:r>
          </w:p>
          <w:p>
            <w:pPr>
              <w:pStyle w:val="null3"/>
              <w:numPr>
                <w:ilvl w:val="0"/>
                <w:numId w:val="1"/>
              </w:numPr>
              <w:jc w:val="left"/>
            </w:pPr>
            <w:r>
              <w:rPr>
                <w:rFonts w:ascii="仿宋_GB2312" w:hAnsi="仿宋_GB2312" w:cs="仿宋_GB2312" w:eastAsia="仿宋_GB2312"/>
                <w:sz w:val="20"/>
              </w:rPr>
              <w:t>每次服务结束后，用户需要对服务进行评价，并签字记录在案，现场服务后客户需在现场服务单上签字，对其服务工程师进行满意度评分</w:t>
            </w:r>
            <w:r>
              <w:rPr>
                <w:rFonts w:ascii="仿宋_GB2312" w:hAnsi="仿宋_GB2312" w:cs="仿宋_GB2312" w:eastAsia="仿宋_GB2312"/>
                <w:sz w:val="20"/>
              </w:rPr>
              <w:t>，</w:t>
            </w:r>
          </w:p>
          <w:p>
            <w:pPr>
              <w:pStyle w:val="null3"/>
              <w:spacing w:after="120"/>
              <w:jc w:val="both"/>
            </w:pPr>
            <w:r>
              <w:rPr>
                <w:rFonts w:ascii="仿宋_GB2312" w:hAnsi="仿宋_GB2312" w:cs="仿宋_GB2312" w:eastAsia="仿宋_GB2312"/>
                <w:sz w:val="20"/>
              </w:rPr>
              <w:t>满意度评价为</w:t>
            </w:r>
            <w:r>
              <w:rPr>
                <w:rFonts w:ascii="仿宋_GB2312" w:hAnsi="仿宋_GB2312" w:cs="仿宋_GB2312" w:eastAsia="仿宋_GB2312"/>
                <w:sz w:val="20"/>
              </w:rPr>
              <w:t>不满意</w:t>
            </w:r>
            <w:r>
              <w:rPr>
                <w:rFonts w:ascii="仿宋_GB2312" w:hAnsi="仿宋_GB2312" w:cs="仿宋_GB2312" w:eastAsia="仿宋_GB2312"/>
                <w:sz w:val="20"/>
              </w:rPr>
              <w:t>时</w:t>
            </w:r>
            <w:r>
              <w:rPr>
                <w:rFonts w:ascii="仿宋_GB2312" w:hAnsi="仿宋_GB2312" w:cs="仿宋_GB2312" w:eastAsia="仿宋_GB2312"/>
                <w:sz w:val="20"/>
              </w:rPr>
              <w:t>扣1分</w:t>
            </w:r>
            <w:r>
              <w:rPr>
                <w:rFonts w:ascii="仿宋_GB2312" w:hAnsi="仿宋_GB2312" w:cs="仿宋_GB2312" w:eastAsia="仿宋_GB2312"/>
                <w:sz w:val="20"/>
              </w:rPr>
              <w:t>。</w:t>
            </w:r>
          </w:p>
          <w:p>
            <w:pPr>
              <w:pStyle w:val="null3"/>
              <w:spacing w:after="120"/>
              <w:jc w:val="both"/>
            </w:pPr>
            <w:r>
              <w:rPr>
                <w:rFonts w:ascii="仿宋_GB2312" w:hAnsi="仿宋_GB2312" w:cs="仿宋_GB2312" w:eastAsia="仿宋_GB2312"/>
                <w:sz w:val="20"/>
              </w:rPr>
              <w:t>（2）每个月末，业务经办机构对运维服务商进行评价，对运维服务商服务质量进行品评</w:t>
            </w:r>
            <w:r>
              <w:rPr>
                <w:rFonts w:ascii="仿宋_GB2312" w:hAnsi="仿宋_GB2312" w:cs="仿宋_GB2312" w:eastAsia="仿宋_GB2312"/>
                <w:sz w:val="20"/>
              </w:rPr>
              <w:t>，</w:t>
            </w:r>
            <w:r>
              <w:rPr>
                <w:rFonts w:ascii="仿宋_GB2312" w:hAnsi="仿宋_GB2312" w:cs="仿宋_GB2312" w:eastAsia="仿宋_GB2312"/>
                <w:sz w:val="20"/>
              </w:rPr>
              <w:t>品评结论为</w:t>
            </w:r>
            <w:r>
              <w:rPr>
                <w:rFonts w:ascii="仿宋_GB2312" w:hAnsi="仿宋_GB2312" w:cs="仿宋_GB2312" w:eastAsia="仿宋_GB2312"/>
                <w:sz w:val="20"/>
              </w:rPr>
              <w:t>不满意扣1分</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（3）用户就服务质量可提出建议或意见，经核实后，运维服务单位应在自接到用户建议之日起在一个月内进行改进，并将改进结果反馈用户方</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未按照要求进行</w:t>
            </w:r>
            <w:r>
              <w:rPr>
                <w:rFonts w:ascii="仿宋_GB2312" w:hAnsi="仿宋_GB2312" w:cs="仿宋_GB2312" w:eastAsia="仿宋_GB2312"/>
                <w:sz w:val="20"/>
              </w:rPr>
              <w:t>改进反馈</w:t>
            </w:r>
            <w:r>
              <w:rPr>
                <w:rFonts w:ascii="仿宋_GB2312" w:hAnsi="仿宋_GB2312" w:cs="仿宋_GB2312" w:eastAsia="仿宋_GB2312"/>
                <w:sz w:val="20"/>
              </w:rPr>
              <w:t>出现1次，扣1分。</w:t>
            </w:r>
          </w:p>
          <w:p>
            <w:pPr>
              <w:pStyle w:val="null3"/>
              <w:numPr>
                <w:ilvl w:val="0"/>
                <w:numId w:val="1"/>
              </w:numPr>
              <w:jc w:val="left"/>
            </w:pPr>
            <w:r>
              <w:rPr>
                <w:rFonts w:ascii="仿宋_GB2312" w:hAnsi="仿宋_GB2312" w:cs="仿宋_GB2312" w:eastAsia="仿宋_GB2312"/>
                <w:sz w:val="20"/>
              </w:rPr>
              <w:t>用户可对服务过程中服务态度、服务质量差的现象以书面或电话的形式向运维服务商进行投诉，经查证投诉属实将立即进行整改，并将整改结果反馈用户方</w:t>
            </w:r>
            <w:r>
              <w:rPr>
                <w:rFonts w:ascii="仿宋_GB2312" w:hAnsi="仿宋_GB2312" w:cs="仿宋_GB2312" w:eastAsia="仿宋_GB2312"/>
                <w:sz w:val="20"/>
              </w:rPr>
              <w:t>，</w:t>
            </w:r>
            <w:r>
              <w:rPr>
                <w:rFonts w:ascii="仿宋_GB2312" w:hAnsi="仿宋_GB2312" w:cs="仿宋_GB2312" w:eastAsia="仿宋_GB2312"/>
                <w:sz w:val="21"/>
              </w:rPr>
              <w:t>未按照要求进行</w:t>
            </w:r>
            <w:r>
              <w:rPr>
                <w:rFonts w:ascii="仿宋_GB2312" w:hAnsi="仿宋_GB2312" w:cs="仿宋_GB2312" w:eastAsia="仿宋_GB2312"/>
                <w:sz w:val="21"/>
              </w:rPr>
              <w:t>整改反馈</w:t>
            </w:r>
            <w:r>
              <w:rPr>
                <w:rFonts w:ascii="仿宋_GB2312" w:hAnsi="仿宋_GB2312" w:cs="仿宋_GB2312" w:eastAsia="仿宋_GB2312"/>
                <w:sz w:val="21"/>
              </w:rPr>
              <w:t>出现</w:t>
            </w:r>
            <w:r>
              <w:rPr>
                <w:rFonts w:ascii="仿宋_GB2312" w:hAnsi="仿宋_GB2312" w:cs="仿宋_GB2312" w:eastAsia="仿宋_GB2312"/>
                <w:sz w:val="21"/>
              </w:rPr>
              <w:t>1</w:t>
            </w:r>
            <w:r>
              <w:rPr>
                <w:rFonts w:ascii="仿宋_GB2312" w:hAnsi="仿宋_GB2312" w:cs="仿宋_GB2312" w:eastAsia="仿宋_GB2312"/>
                <w:sz w:val="21"/>
              </w:rPr>
              <w:t>次，扣</w:t>
            </w:r>
            <w:r>
              <w:rPr>
                <w:rFonts w:ascii="仿宋_GB2312" w:hAnsi="仿宋_GB2312" w:cs="仿宋_GB2312" w:eastAsia="仿宋_GB2312"/>
                <w:sz w:val="21"/>
              </w:rPr>
              <w:t>1</w:t>
            </w:r>
            <w:r>
              <w:rPr>
                <w:rFonts w:ascii="仿宋_GB2312" w:hAnsi="仿宋_GB2312" w:cs="仿宋_GB2312" w:eastAsia="仿宋_GB2312"/>
                <w:sz w:val="21"/>
              </w:rPr>
              <w:t>分。</w:t>
            </w:r>
          </w:p>
          <w:p>
            <w:pPr>
              <w:pStyle w:val="null3"/>
              <w:ind w:firstLine="402"/>
              <w:jc w:val="left"/>
            </w:pPr>
            <w:r>
              <w:rPr>
                <w:rFonts w:ascii="仿宋_GB2312" w:hAnsi="仿宋_GB2312" w:cs="仿宋_GB2312" w:eastAsia="仿宋_GB2312"/>
                <w:sz w:val="20"/>
                <w:b/>
              </w:rPr>
              <w:t>6.7服务考核机制（10分）</w:t>
            </w:r>
          </w:p>
          <w:p>
            <w:pPr>
              <w:pStyle w:val="null3"/>
              <w:ind w:firstLine="400"/>
              <w:jc w:val="left"/>
            </w:pPr>
            <w:r>
              <w:rPr>
                <w:rFonts w:ascii="仿宋_GB2312" w:hAnsi="仿宋_GB2312" w:cs="仿宋_GB2312" w:eastAsia="仿宋_GB2312"/>
                <w:sz w:val="20"/>
              </w:rPr>
              <w:t>（1）每个月末将用户的评价记录进行统计，对用户满意度、服务投诉、故障处理、文档规范等指标进行量化考核</w:t>
            </w:r>
            <w:r>
              <w:rPr>
                <w:rFonts w:ascii="仿宋_GB2312" w:hAnsi="仿宋_GB2312" w:cs="仿宋_GB2312" w:eastAsia="仿宋_GB2312"/>
                <w:sz w:val="20"/>
              </w:rPr>
              <w:t>，</w:t>
            </w:r>
            <w:r>
              <w:rPr>
                <w:rFonts w:ascii="仿宋_GB2312" w:hAnsi="仿宋_GB2312" w:cs="仿宋_GB2312" w:eastAsia="仿宋_GB2312"/>
                <w:sz w:val="20"/>
              </w:rPr>
              <w:t>考核结果为不满意时扣1分。</w:t>
            </w:r>
          </w:p>
          <w:p>
            <w:pPr>
              <w:pStyle w:val="null3"/>
              <w:ind w:firstLine="400"/>
              <w:jc w:val="left"/>
            </w:pPr>
            <w:r>
              <w:rPr>
                <w:rFonts w:ascii="仿宋_GB2312" w:hAnsi="仿宋_GB2312" w:cs="仿宋_GB2312" w:eastAsia="仿宋_GB2312"/>
                <w:sz w:val="20"/>
              </w:rPr>
              <w:t>（2）用户将到反映问题较多、满意度较低的业务经办机构进行现场调研，调查运维服务商的服务情况，并将结果向运维服务商反映。</w:t>
            </w:r>
          </w:p>
          <w:p>
            <w:pPr>
              <w:pStyle w:val="null3"/>
              <w:ind w:firstLine="400"/>
              <w:jc w:val="left"/>
            </w:pPr>
            <w:r>
              <w:rPr>
                <w:rFonts w:ascii="仿宋_GB2312" w:hAnsi="仿宋_GB2312" w:cs="仿宋_GB2312" w:eastAsia="仿宋_GB2312"/>
                <w:sz w:val="20"/>
              </w:rPr>
              <w:t>服务质量考核每季度进行一次，以考核结果作为合同总价的10%的合同金额的支付依据。</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标的名称：1700000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color w:val="000000"/>
              </w:rPr>
              <w:t>一</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项目概述</w:t>
            </w:r>
          </w:p>
          <w:p>
            <w:pPr>
              <w:pStyle w:val="null3"/>
              <w:ind w:firstLine="301"/>
              <w:jc w:val="both"/>
            </w:pPr>
            <w:r>
              <w:rPr>
                <w:rFonts w:ascii="仿宋_GB2312" w:hAnsi="仿宋_GB2312" w:cs="仿宋_GB2312" w:eastAsia="仿宋_GB2312"/>
                <w:sz w:val="20"/>
                <w:b/>
                <w:color w:val="000000"/>
              </w:rPr>
              <w:t>1、简介</w:t>
            </w:r>
          </w:p>
          <w:p>
            <w:pPr>
              <w:pStyle w:val="null3"/>
              <w:ind w:firstLine="400"/>
              <w:jc w:val="both"/>
            </w:pPr>
            <w:r>
              <w:rPr>
                <w:rFonts w:ascii="仿宋_GB2312" w:hAnsi="仿宋_GB2312" w:cs="仿宋_GB2312" w:eastAsia="仿宋_GB2312"/>
                <w:sz w:val="20"/>
                <w:color w:val="000000"/>
              </w:rPr>
              <w:t>陕西省人力资源和社会保障厅是根据陕西省政府机构改革方案，整合原陕西省人事厅、陕西省劳动和社会保障厅职能组建成立的。根据《陕西省人民政府办公厅关于印发&lt;陕西省人力资源和社会保障厅职责内设机构和人员编制规定&gt;的通知》（陕政办发〔2009〕17号），省人力资源和社会保障厅为省人民政府组成部门，主要承担全省人力资源和社会保障行政管理职责，设21个内设机构和省公务员局、省外国专家局等，以及16个厅属事业单位。</w:t>
            </w:r>
          </w:p>
          <w:p>
            <w:pPr>
              <w:pStyle w:val="null3"/>
              <w:ind w:firstLine="301"/>
              <w:jc w:val="both"/>
            </w:pPr>
            <w:r>
              <w:rPr>
                <w:rFonts w:ascii="仿宋_GB2312" w:hAnsi="仿宋_GB2312" w:cs="仿宋_GB2312" w:eastAsia="仿宋_GB2312"/>
                <w:sz w:val="20"/>
                <w:b/>
                <w:color w:val="000000"/>
              </w:rPr>
              <w:t>2、陕西省金保工程业务专网介绍</w:t>
            </w:r>
          </w:p>
          <w:p>
            <w:pPr>
              <w:pStyle w:val="null3"/>
              <w:ind w:firstLine="400"/>
              <w:jc w:val="both"/>
            </w:pPr>
            <w:r>
              <w:rPr>
                <w:rFonts w:ascii="仿宋_GB2312" w:hAnsi="仿宋_GB2312" w:cs="仿宋_GB2312" w:eastAsia="仿宋_GB2312"/>
                <w:sz w:val="20"/>
                <w:color w:val="000000"/>
              </w:rPr>
              <w:t>金保工程信息系统网络是以国家电子政务网络平台/公共通信网络平台为基础，以各级人社部门局域网为主体，以网络应用为核心，多种通信方式并存，跨平台、支持分布式处理的计算机广域网络系统，从功能上划分为办公网、业务专网、公众服务网。</w:t>
            </w:r>
          </w:p>
          <w:p>
            <w:pPr>
              <w:pStyle w:val="null3"/>
              <w:ind w:firstLine="400"/>
              <w:jc w:val="both"/>
            </w:pPr>
            <w:r>
              <w:rPr>
                <w:rFonts w:ascii="仿宋_GB2312" w:hAnsi="仿宋_GB2312" w:cs="仿宋_GB2312" w:eastAsia="仿宋_GB2312"/>
                <w:sz w:val="20"/>
                <w:color w:val="000000"/>
              </w:rPr>
              <w:t>陕西省金保工程业务专网支撑全省人力资源和社会保障信息系统运行，依托公共通信平台，以省级数据中心为主节点，市本级数据中心为二级节点，县级及以下城市人社部门网络中心为基础节点，延伸到乡镇以及街道社区，覆盖全省各级人力资源和劳动保障部门、经办机构或业务代办点的省、市、县三级的业务专网。业务专网传递数据、视频和语音信息，与政府相关部门和其他相关单位（医院、药店、银行等）连接，实现相关信息的交换和共享。</w:t>
            </w:r>
          </w:p>
          <w:p>
            <w:pPr>
              <w:pStyle w:val="null3"/>
              <w:jc w:val="both"/>
            </w:pPr>
            <w:r>
              <w:rPr>
                <w:rFonts w:ascii="仿宋_GB2312" w:hAnsi="仿宋_GB2312" w:cs="仿宋_GB2312" w:eastAsia="仿宋_GB2312"/>
                <w:sz w:val="20"/>
                <w:b/>
                <w:color w:val="000000"/>
              </w:rPr>
              <w:t>二</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线路及服务内容</w:t>
            </w:r>
          </w:p>
          <w:p>
            <w:pPr>
              <w:pStyle w:val="null3"/>
              <w:jc w:val="both"/>
            </w:pP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1、省级数据中心线路</w:t>
            </w:r>
          </w:p>
          <w:tbl>
            <w:tblPr>
              <w:tblInd w:type="dxa" w:w="195"/>
              <w:tblBorders>
                <w:top w:val="none" w:color="000000" w:sz="4"/>
                <w:left w:val="none" w:color="000000" w:sz="4"/>
                <w:bottom w:val="none" w:color="000000" w:sz="4"/>
                <w:right w:val="none" w:color="000000" w:sz="4"/>
                <w:insideH w:val="none"/>
                <w:insideV w:val="none"/>
              </w:tblBorders>
            </w:tblPr>
            <w:tblGrid>
              <w:gridCol w:w="239"/>
              <w:gridCol w:w="1274"/>
              <w:gridCol w:w="554"/>
              <w:gridCol w:w="469"/>
            </w:tblGrid>
            <w:tr>
              <w:tc>
                <w:tcPr>
                  <w:tcW w:type="dxa" w:w="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1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5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类型速率</w:t>
                  </w:r>
                </w:p>
              </w:tc>
              <w:tc>
                <w:tcPr>
                  <w:tcW w:type="dxa" w:w="4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数量（条）</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厅机关办公互联网（京西大厦4个IP）</w:t>
                  </w: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80M</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互联网光纤（16个IP）</w:t>
                  </w: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600M</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业务专网省端互联网光纤（16个ip)）</w:t>
                  </w: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600M</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数据中心网站互联网光纤</w:t>
                  </w: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300M</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省政府前大楼6楼会议室光纤</w:t>
                  </w: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80M</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bl>
          <w:p>
            <w:pPr>
              <w:pStyle w:val="null3"/>
              <w:jc w:val="both"/>
            </w:pPr>
            <w:r>
              <w:rPr>
                <w:rFonts w:ascii="仿宋_GB2312" w:hAnsi="仿宋_GB2312" w:cs="仿宋_GB2312" w:eastAsia="仿宋_GB2312"/>
                <w:sz w:val="21"/>
                <w:b/>
              </w:rPr>
              <w:t xml:space="preserve"> </w:t>
            </w:r>
            <w:r>
              <w:rPr>
                <w:rFonts w:ascii="仿宋_GB2312" w:hAnsi="仿宋_GB2312" w:cs="仿宋_GB2312" w:eastAsia="仿宋_GB2312"/>
                <w:sz w:val="20"/>
                <w:color w:val="000000"/>
              </w:rPr>
              <w:t xml:space="preserve">  以上线路提供线路安全服务：互联网线路在技术上需满足下一代防火墙和网络审计等功能，提供全方位、多层次的安全保障</w:t>
            </w:r>
            <w:r>
              <w:rPr>
                <w:rFonts w:ascii="仿宋_GB2312" w:hAnsi="仿宋_GB2312" w:cs="仿宋_GB2312" w:eastAsia="仿宋_GB2312"/>
                <w:sz w:val="20"/>
                <w:color w:val="000000"/>
              </w:rPr>
              <w:t>；</w:t>
            </w:r>
            <w:r>
              <w:rPr>
                <w:rFonts w:ascii="仿宋_GB2312" w:hAnsi="仿宋_GB2312" w:cs="仿宋_GB2312" w:eastAsia="仿宋_GB2312"/>
                <w:sz w:val="20"/>
                <w:color w:val="000000"/>
              </w:rPr>
              <w:t>数字电路需在技术上通过国密算法加密，能够有效保护信息在传输过程中的机密性、完整性和抗抵赖性。</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1</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服务要求</w:t>
            </w:r>
          </w:p>
          <w:p>
            <w:pPr>
              <w:pStyle w:val="null3"/>
              <w:ind w:firstLine="400"/>
              <w:jc w:val="both"/>
            </w:pPr>
            <w:r>
              <w:rPr>
                <w:rFonts w:ascii="仿宋_GB2312" w:hAnsi="仿宋_GB2312" w:cs="仿宋_GB2312" w:eastAsia="仿宋_GB2312"/>
                <w:sz w:val="20"/>
                <w:color w:val="000000"/>
              </w:rPr>
              <w:t>1.1</w:t>
            </w:r>
            <w:r>
              <w:rPr>
                <w:rFonts w:ascii="仿宋_GB2312" w:hAnsi="仿宋_GB2312" w:cs="仿宋_GB2312" w:eastAsia="仿宋_GB2312"/>
                <w:sz w:val="20"/>
                <w:color w:val="000000"/>
              </w:rPr>
              <w:t>服务商要严格遵守《中华人民共和国电信条例》，按照电路服务质量要求，保障我单位租用电路畅通。</w:t>
            </w:r>
          </w:p>
          <w:p>
            <w:pPr>
              <w:pStyle w:val="null3"/>
              <w:ind w:firstLine="400"/>
              <w:jc w:val="both"/>
            </w:pPr>
            <w:r>
              <w:rPr>
                <w:rFonts w:ascii="仿宋_GB2312" w:hAnsi="仿宋_GB2312" w:cs="仿宋_GB2312" w:eastAsia="仿宋_GB2312"/>
                <w:sz w:val="20"/>
                <w:color w:val="000000"/>
              </w:rPr>
              <w:t>1.2</w:t>
            </w:r>
            <w:r>
              <w:rPr>
                <w:rFonts w:ascii="仿宋_GB2312" w:hAnsi="仿宋_GB2312" w:cs="仿宋_GB2312" w:eastAsia="仿宋_GB2312"/>
                <w:sz w:val="20"/>
                <w:color w:val="000000"/>
              </w:rPr>
              <w:t>服务商提供本单位VIP等级的优质售后服务，内容包括：网络监测服务、故障处理服务、每月网络运行报告服务、割接调试服务、一站式受理业务和故障申告服务。</w:t>
            </w:r>
          </w:p>
          <w:p>
            <w:pPr>
              <w:pStyle w:val="null3"/>
              <w:ind w:firstLine="400"/>
              <w:jc w:val="both"/>
            </w:pPr>
            <w:r>
              <w:rPr>
                <w:rFonts w:ascii="仿宋_GB2312" w:hAnsi="仿宋_GB2312" w:cs="仿宋_GB2312" w:eastAsia="仿宋_GB2312"/>
                <w:sz w:val="20"/>
                <w:color w:val="000000"/>
              </w:rPr>
              <w:t>1.3</w:t>
            </w:r>
            <w:r>
              <w:rPr>
                <w:rFonts w:ascii="仿宋_GB2312" w:hAnsi="仿宋_GB2312" w:cs="仿宋_GB2312" w:eastAsia="仿宋_GB2312"/>
                <w:sz w:val="20"/>
                <w:color w:val="000000"/>
              </w:rPr>
              <w:t>故障申报要实行“区域就近接收申报，就近部门负责”的原则，负责故障的全程处理。服务商施工、网络割接等原因影响租用线路正常使用的，服务商应当提前通知适用方，并尽快消除故障，恢复通信线路。</w:t>
            </w:r>
          </w:p>
          <w:p>
            <w:pPr>
              <w:pStyle w:val="null3"/>
              <w:ind w:firstLine="400"/>
              <w:jc w:val="both"/>
            </w:pPr>
            <w:r>
              <w:rPr>
                <w:rFonts w:ascii="仿宋_GB2312" w:hAnsi="仿宋_GB2312" w:cs="仿宋_GB2312" w:eastAsia="仿宋_GB2312"/>
                <w:sz w:val="20"/>
                <w:color w:val="000000"/>
              </w:rPr>
              <w:t>具体线路开通及售后服务时限和服务质量要求如下：</w:t>
            </w:r>
          </w:p>
          <w:tbl>
            <w:tblPr>
              <w:tblBorders>
                <w:top w:val="none" w:color="000000" w:sz="4"/>
                <w:left w:val="none" w:color="000000" w:sz="4"/>
                <w:bottom w:val="none" w:color="000000" w:sz="4"/>
                <w:right w:val="none" w:color="000000" w:sz="4"/>
                <w:insideH w:val="none"/>
                <w:insideV w:val="none"/>
              </w:tblBorders>
            </w:tblPr>
            <w:tblGrid>
              <w:gridCol w:w="436"/>
              <w:gridCol w:w="488"/>
              <w:gridCol w:w="807"/>
              <w:gridCol w:w="816"/>
            </w:tblGrid>
            <w:tr>
              <w:tc>
                <w:tcPr>
                  <w:tcW w:type="dxa" w:w="92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业务类型</w:t>
                  </w:r>
                </w:p>
              </w:tc>
              <w:tc>
                <w:tcPr>
                  <w:tcW w:type="dxa" w:w="8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资源调查工期</w:t>
                  </w:r>
                </w:p>
              </w:tc>
              <w:tc>
                <w:tcPr>
                  <w:tcW w:type="dxa" w:w="8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备注</w:t>
                  </w:r>
                </w:p>
              </w:tc>
            </w:tr>
            <w:tr>
              <w:tc>
                <w:tcPr>
                  <w:tcW w:type="dxa" w:w="9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出租光纤/数字电路/宽带光纤</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3-5个工作日</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业务类型</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开通时限</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备注</w:t>
                  </w:r>
                </w:p>
              </w:tc>
            </w:tr>
            <w:tr>
              <w:tc>
                <w:tcPr>
                  <w:tcW w:type="dxa" w:w="4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ADSL装机</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有资源调度</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8天</w:t>
                  </w:r>
                </w:p>
              </w:tc>
              <w:tc>
                <w:tcPr>
                  <w:tcW w:type="dxa" w:w="8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资源到交接箱</w:t>
                  </w:r>
                </w:p>
              </w:tc>
            </w:tr>
            <w:tr>
              <w:tc>
                <w:tcPr>
                  <w:tcW w:type="dxa" w:w="436"/>
                  <w:vMerge/>
                  <w:tcBorders>
                    <w:top w:val="none" w:color="000000" w:sz="4"/>
                    <w:left w:val="single" w:color="000000" w:sz="4"/>
                    <w:bottom w:val="single" w:color="000000" w:sz="4"/>
                    <w:right w:val="single" w:color="000000" w:sz="4"/>
                  </w:tcBorders>
                </w:tcP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调配资源</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12天</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局端无端口（插卡）</w:t>
                  </w:r>
                </w:p>
              </w:tc>
            </w:tr>
            <w:tr>
              <w:tc>
                <w:tcPr>
                  <w:tcW w:type="dxa" w:w="436"/>
                  <w:vMerge/>
                  <w:tcBorders>
                    <w:top w:val="none" w:color="000000" w:sz="4"/>
                    <w:left w:val="single" w:color="000000" w:sz="4"/>
                    <w:bottom w:val="single" w:color="000000" w:sz="4"/>
                    <w:right w:val="single" w:color="000000" w:sz="4"/>
                  </w:tcBorders>
                </w:tcP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无资源新建</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55天</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数字电路</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有资源调度</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7天</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在原有设备上增开</w:t>
                  </w:r>
                </w:p>
              </w:tc>
            </w:tr>
            <w:tr>
              <w:tc>
                <w:tcPr>
                  <w:tcW w:type="dxa" w:w="436"/>
                  <w:vMerge/>
                  <w:tcBorders>
                    <w:top w:val="none" w:color="000000" w:sz="4"/>
                    <w:left w:val="single" w:color="000000" w:sz="4"/>
                    <w:bottom w:val="single" w:color="000000" w:sz="4"/>
                    <w:right w:val="single" w:color="000000" w:sz="4"/>
                  </w:tcBorders>
                </w:tcP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调配资源</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14天</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光缆资源到大楼</w:t>
                  </w:r>
                </w:p>
              </w:tc>
            </w:tr>
            <w:tr>
              <w:tc>
                <w:tcPr>
                  <w:tcW w:type="dxa" w:w="436"/>
                  <w:vMerge/>
                  <w:tcBorders>
                    <w:top w:val="none" w:color="000000" w:sz="4"/>
                    <w:left w:val="single" w:color="000000" w:sz="4"/>
                    <w:bottom w:val="single" w:color="000000" w:sz="4"/>
                    <w:right w:val="single" w:color="000000" w:sz="4"/>
                  </w:tcBorders>
                </w:tcP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无资源新建</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50天</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宽带光纤</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有资源调度</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7天</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光缆资源到大楼</w:t>
                  </w:r>
                </w:p>
              </w:tc>
            </w:tr>
            <w:tr>
              <w:tc>
                <w:tcPr>
                  <w:tcW w:type="dxa" w:w="436"/>
                  <w:vMerge/>
                  <w:tcBorders>
                    <w:top w:val="none" w:color="000000" w:sz="4"/>
                    <w:left w:val="single" w:color="000000" w:sz="4"/>
                    <w:bottom w:val="single" w:color="000000" w:sz="4"/>
                    <w:right w:val="single" w:color="000000" w:sz="4"/>
                  </w:tcBorders>
                </w:tcP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调配资源</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14天</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无端口、无光MEDOM</w:t>
                  </w:r>
                </w:p>
              </w:tc>
            </w:tr>
            <w:tr>
              <w:tc>
                <w:tcPr>
                  <w:tcW w:type="dxa" w:w="436"/>
                  <w:vMerge/>
                  <w:tcBorders>
                    <w:top w:val="none" w:color="000000" w:sz="4"/>
                    <w:left w:val="single" w:color="000000" w:sz="4"/>
                    <w:bottom w:val="single" w:color="000000" w:sz="4"/>
                    <w:right w:val="single" w:color="000000" w:sz="4"/>
                  </w:tcBorders>
                </w:tcP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无资源新建</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50天</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出租光纤</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有资源调度</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7天</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光缆资源到大楼</w:t>
                  </w:r>
                </w:p>
              </w:tc>
            </w:tr>
            <w:tr>
              <w:tc>
                <w:tcPr>
                  <w:tcW w:type="dxa" w:w="436"/>
                  <w:vMerge/>
                  <w:tcBorders>
                    <w:top w:val="none" w:color="000000" w:sz="4"/>
                    <w:left w:val="single" w:color="000000" w:sz="4"/>
                    <w:bottom w:val="single" w:color="000000" w:sz="4"/>
                    <w:right w:val="single" w:color="000000" w:sz="4"/>
                  </w:tcBorders>
                </w:tcP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调配资源</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14天</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光缆资源到交接箱</w:t>
                  </w:r>
                </w:p>
              </w:tc>
            </w:tr>
            <w:tr>
              <w:tc>
                <w:tcPr>
                  <w:tcW w:type="dxa" w:w="436"/>
                  <w:vMerge/>
                  <w:tcBorders>
                    <w:top w:val="none" w:color="000000" w:sz="4"/>
                    <w:left w:val="single" w:color="000000" w:sz="4"/>
                    <w:bottom w:val="single" w:color="000000" w:sz="4"/>
                    <w:right w:val="single" w:color="000000" w:sz="4"/>
                  </w:tcBorders>
                </w:tcP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无资源新建</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50天</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0"/>
                <w:color w:val="000000"/>
              </w:rPr>
              <w:t>1.4</w:t>
            </w:r>
            <w:r>
              <w:rPr>
                <w:rFonts w:ascii="仿宋_GB2312" w:hAnsi="仿宋_GB2312" w:cs="仿宋_GB2312" w:eastAsia="仿宋_GB2312"/>
                <w:sz w:val="20"/>
                <w:color w:val="000000"/>
              </w:rPr>
              <w:t>开通线路时提供一次性费用（工程建设费）的减免，并赠送具体线路开通所需光电转换器或光端机。</w:t>
            </w:r>
          </w:p>
          <w:p>
            <w:pPr>
              <w:pStyle w:val="null3"/>
              <w:ind w:firstLine="400"/>
              <w:jc w:val="both"/>
            </w:pPr>
            <w:r>
              <w:rPr>
                <w:rFonts w:ascii="仿宋_GB2312" w:hAnsi="仿宋_GB2312" w:cs="仿宋_GB2312" w:eastAsia="仿宋_GB2312"/>
                <w:sz w:val="20"/>
                <w:color w:val="000000"/>
              </w:rPr>
              <w:t>1.5</w:t>
            </w:r>
            <w:r>
              <w:rPr>
                <w:rFonts w:ascii="仿宋_GB2312" w:hAnsi="仿宋_GB2312" w:cs="仿宋_GB2312" w:eastAsia="仿宋_GB2312"/>
                <w:sz w:val="20"/>
                <w:color w:val="000000"/>
              </w:rPr>
              <w:t>要求对租用线路进行迁移，若迁移范围在同一大楼内，减免相关移线费用。</w:t>
            </w:r>
          </w:p>
          <w:p>
            <w:pPr>
              <w:pStyle w:val="null3"/>
              <w:ind w:firstLine="400"/>
              <w:jc w:val="both"/>
            </w:pPr>
            <w:r>
              <w:rPr>
                <w:rFonts w:ascii="仿宋_GB2312" w:hAnsi="仿宋_GB2312" w:cs="仿宋_GB2312" w:eastAsia="仿宋_GB2312"/>
                <w:sz w:val="20"/>
                <w:color w:val="000000"/>
              </w:rPr>
              <w:t>1.6</w:t>
            </w:r>
            <w:r>
              <w:rPr>
                <w:rFonts w:ascii="仿宋_GB2312" w:hAnsi="仿宋_GB2312" w:cs="仿宋_GB2312" w:eastAsia="仿宋_GB2312"/>
                <w:sz w:val="20"/>
                <w:color w:val="000000"/>
              </w:rPr>
              <w:t>双方协定的线路租用价格，服务商应保证在全省人力资源和社会保障行业内统一执行，协定的价格作为最高限价。</w:t>
            </w:r>
          </w:p>
          <w:p>
            <w:pPr>
              <w:pStyle w:val="null3"/>
              <w:ind w:firstLine="400"/>
              <w:jc w:val="both"/>
            </w:pPr>
            <w:r>
              <w:rPr>
                <w:rFonts w:ascii="仿宋_GB2312" w:hAnsi="仿宋_GB2312" w:cs="仿宋_GB2312" w:eastAsia="仿宋_GB2312"/>
                <w:sz w:val="20"/>
                <w:color w:val="000000"/>
              </w:rPr>
              <w:t>1.7</w:t>
            </w:r>
            <w:r>
              <w:rPr>
                <w:rFonts w:ascii="仿宋_GB2312" w:hAnsi="仿宋_GB2312" w:cs="仿宋_GB2312" w:eastAsia="仿宋_GB2312"/>
                <w:sz w:val="20"/>
                <w:color w:val="000000"/>
              </w:rPr>
              <w:t>服务商要保证每条线路自电路开通之日起的30日为免费测试期，30日后开始计费。测试期内，服务商提供与线路租期内同样的服务。</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2</w:t>
            </w:r>
            <w:r>
              <w:rPr>
                <w:rFonts w:ascii="仿宋_GB2312" w:hAnsi="仿宋_GB2312" w:cs="仿宋_GB2312" w:eastAsia="仿宋_GB2312"/>
                <w:sz w:val="20"/>
                <w:b/>
                <w:color w:val="000000"/>
              </w:rPr>
              <w:t>）服务质量考评规范</w:t>
            </w:r>
          </w:p>
          <w:p>
            <w:pPr>
              <w:pStyle w:val="null3"/>
            </w:pPr>
            <w:r>
              <w:rPr>
                <w:rFonts w:ascii="仿宋_GB2312" w:hAnsi="仿宋_GB2312" w:cs="仿宋_GB2312" w:eastAsia="仿宋_GB2312"/>
                <w:sz w:val="20"/>
                <w:color w:val="000000"/>
              </w:rPr>
              <w:t>在项目执行期间，对乙方服务质量进行量化考核（满分100分），按照考核分数将服务质量评定为三个等级，其中分数在75分以上（含75分）评定为“优良”，分数在75分至60分（含60分）为“一般”，分数在60分以下为“不合格”。</w:t>
            </w:r>
          </w:p>
          <w:p>
            <w:pPr>
              <w:pStyle w:val="null3"/>
              <w:ind w:firstLine="402"/>
              <w:jc w:val="both"/>
            </w:pPr>
            <w:r>
              <w:rPr>
                <w:rFonts w:ascii="仿宋_GB2312" w:hAnsi="仿宋_GB2312" w:cs="仿宋_GB2312" w:eastAsia="仿宋_GB2312"/>
                <w:sz w:val="20"/>
                <w:b/>
                <w:color w:val="000000"/>
              </w:rPr>
              <w:t>2.1</w:t>
            </w:r>
            <w:r>
              <w:rPr>
                <w:rFonts w:ascii="仿宋_GB2312" w:hAnsi="仿宋_GB2312" w:cs="仿宋_GB2312" w:eastAsia="仿宋_GB2312"/>
                <w:sz w:val="20"/>
                <w:b/>
                <w:color w:val="000000"/>
              </w:rPr>
              <w:t>合同执行情况</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30分</w:t>
            </w:r>
            <w:r>
              <w:rPr>
                <w:rFonts w:ascii="仿宋_GB2312" w:hAnsi="仿宋_GB2312" w:cs="仿宋_GB2312" w:eastAsia="仿宋_GB2312"/>
                <w:sz w:val="20"/>
                <w:b/>
                <w:color w:val="000000"/>
              </w:rPr>
              <w:t>）</w:t>
            </w:r>
          </w:p>
          <w:p>
            <w:pPr>
              <w:pStyle w:val="null3"/>
            </w:pPr>
            <w:r>
              <w:rPr>
                <w:rFonts w:ascii="仿宋_GB2312" w:hAnsi="仿宋_GB2312" w:cs="仿宋_GB2312" w:eastAsia="仿宋_GB2312"/>
                <w:sz w:val="20"/>
                <w:color w:val="000000"/>
              </w:rPr>
              <w:t>运维服务期内，运维人员能够及时7×24小时响应和处理故障发生，未发生延误处理情况，故障响应时间小于2小时。如未达到要求，每次扣3分。</w:t>
            </w:r>
          </w:p>
          <w:p>
            <w:pPr>
              <w:pStyle w:val="null3"/>
            </w:pPr>
            <w:r>
              <w:rPr>
                <w:rFonts w:ascii="仿宋_GB2312" w:hAnsi="仿宋_GB2312" w:cs="仿宋_GB2312" w:eastAsia="仿宋_GB2312"/>
                <w:sz w:val="20"/>
                <w:color w:val="000000"/>
              </w:rPr>
              <w:t>服务商在规定的时间内响应线路故障，服务期内未出现重大安全事故（线路中断4小时以上）。如未达到要求，每次扣3分。</w:t>
            </w:r>
          </w:p>
          <w:p>
            <w:pPr>
              <w:pStyle w:val="null3"/>
            </w:pPr>
            <w:r>
              <w:rPr>
                <w:rFonts w:ascii="仿宋_GB2312" w:hAnsi="仿宋_GB2312" w:cs="仿宋_GB2312" w:eastAsia="仿宋_GB2312"/>
                <w:sz w:val="20"/>
                <w:color w:val="000000"/>
              </w:rPr>
              <w:t>服务商在服务期内，未出现由于人员操作失误等人为因素导致的线路故障。如未达到要求，每次扣2分。</w:t>
            </w:r>
          </w:p>
          <w:p>
            <w:pPr>
              <w:pStyle w:val="null3"/>
            </w:pPr>
            <w:r>
              <w:rPr>
                <w:rFonts w:ascii="仿宋_GB2312" w:hAnsi="仿宋_GB2312" w:cs="仿宋_GB2312" w:eastAsia="仿宋_GB2312"/>
                <w:sz w:val="20"/>
                <w:color w:val="000000"/>
              </w:rPr>
              <w:t>发生泄露用户机密数据或恶意攻击用户数据等违法行为扣10分。</w:t>
            </w:r>
          </w:p>
          <w:p>
            <w:pPr>
              <w:pStyle w:val="null3"/>
            </w:pPr>
            <w:r>
              <w:rPr>
                <w:rFonts w:ascii="仿宋_GB2312" w:hAnsi="仿宋_GB2312" w:cs="仿宋_GB2312" w:eastAsia="仿宋_GB2312"/>
                <w:sz w:val="20"/>
                <w:color w:val="000000"/>
              </w:rPr>
              <w:t>本项总分30分，针对具体情况进行扣分。</w:t>
            </w:r>
          </w:p>
          <w:p>
            <w:pPr>
              <w:pStyle w:val="null3"/>
              <w:ind w:firstLine="480"/>
              <w:jc w:val="both"/>
            </w:pPr>
            <w:r>
              <w:rPr>
                <w:rFonts w:ascii="仿宋_GB2312" w:hAnsi="仿宋_GB2312" w:cs="仿宋_GB2312" w:eastAsia="仿宋_GB2312"/>
                <w:sz w:val="20"/>
                <w:b/>
              </w:rPr>
              <w:t>2.2</w:t>
            </w:r>
            <w:r>
              <w:rPr>
                <w:rFonts w:ascii="仿宋_GB2312" w:hAnsi="仿宋_GB2312" w:cs="仿宋_GB2312" w:eastAsia="仿宋_GB2312"/>
                <w:sz w:val="20"/>
                <w:b/>
              </w:rPr>
              <w:t>建立和维护共享知识库</w:t>
            </w:r>
            <w:r>
              <w:rPr>
                <w:rFonts w:ascii="仿宋_GB2312" w:hAnsi="仿宋_GB2312" w:cs="仿宋_GB2312" w:eastAsia="仿宋_GB2312"/>
                <w:sz w:val="20"/>
                <w:b/>
              </w:rPr>
              <w:t>（</w:t>
            </w:r>
            <w:r>
              <w:rPr>
                <w:rFonts w:ascii="仿宋_GB2312" w:hAnsi="仿宋_GB2312" w:cs="仿宋_GB2312" w:eastAsia="仿宋_GB2312"/>
                <w:sz w:val="20"/>
                <w:b/>
              </w:rPr>
              <w:t>10分</w:t>
            </w:r>
            <w:r>
              <w:rPr>
                <w:rFonts w:ascii="仿宋_GB2312" w:hAnsi="仿宋_GB2312" w:cs="仿宋_GB2312" w:eastAsia="仿宋_GB2312"/>
                <w:sz w:val="20"/>
                <w:b/>
              </w:rPr>
              <w:t>）</w:t>
            </w:r>
          </w:p>
          <w:p>
            <w:pPr>
              <w:pStyle w:val="null3"/>
            </w:pPr>
            <w:r>
              <w:rPr>
                <w:rFonts w:ascii="仿宋_GB2312" w:hAnsi="仿宋_GB2312" w:cs="仿宋_GB2312" w:eastAsia="仿宋_GB2312"/>
                <w:sz w:val="20"/>
              </w:rPr>
              <w:t>针对甲方业务专网的实际情况建立专门的知识库（知识产权归采购人所有），提供常见问题解答、服务经验分享、等多种服务内容。</w:t>
            </w:r>
          </w:p>
          <w:p>
            <w:pPr>
              <w:pStyle w:val="null3"/>
            </w:pPr>
            <w:r>
              <w:rPr>
                <w:rFonts w:ascii="仿宋_GB2312" w:hAnsi="仿宋_GB2312" w:cs="仿宋_GB2312" w:eastAsia="仿宋_GB2312"/>
                <w:sz w:val="20"/>
              </w:rPr>
              <w:t>本项总计10分，其中建立专门的知识库得</w:t>
            </w:r>
            <w:r>
              <w:rPr>
                <w:rFonts w:ascii="仿宋_GB2312" w:hAnsi="仿宋_GB2312" w:cs="仿宋_GB2312" w:eastAsia="仿宋_GB2312"/>
                <w:sz w:val="20"/>
              </w:rPr>
              <w:t>4</w:t>
            </w:r>
            <w:r>
              <w:rPr>
                <w:rFonts w:ascii="仿宋_GB2312" w:hAnsi="仿宋_GB2312" w:cs="仿宋_GB2312" w:eastAsia="仿宋_GB2312"/>
                <w:sz w:val="20"/>
              </w:rPr>
              <w:t>分，每周及时更新内容得</w:t>
            </w:r>
            <w:r>
              <w:rPr>
                <w:rFonts w:ascii="仿宋_GB2312" w:hAnsi="仿宋_GB2312" w:cs="仿宋_GB2312" w:eastAsia="仿宋_GB2312"/>
                <w:sz w:val="20"/>
              </w:rPr>
              <w:t>4</w:t>
            </w:r>
            <w:r>
              <w:rPr>
                <w:rFonts w:ascii="仿宋_GB2312" w:hAnsi="仿宋_GB2312" w:cs="仿宋_GB2312" w:eastAsia="仿宋_GB2312"/>
                <w:sz w:val="20"/>
              </w:rPr>
              <w:t>分，知识库由专人进行维护的</w:t>
            </w:r>
            <w:r>
              <w:rPr>
                <w:rFonts w:ascii="仿宋_GB2312" w:hAnsi="仿宋_GB2312" w:cs="仿宋_GB2312" w:eastAsia="仿宋_GB2312"/>
                <w:sz w:val="20"/>
              </w:rPr>
              <w:t>2</w:t>
            </w:r>
            <w:r>
              <w:rPr>
                <w:rFonts w:ascii="仿宋_GB2312" w:hAnsi="仿宋_GB2312" w:cs="仿宋_GB2312" w:eastAsia="仿宋_GB2312"/>
                <w:sz w:val="20"/>
              </w:rPr>
              <w:t>分。</w:t>
            </w:r>
          </w:p>
          <w:p>
            <w:pPr>
              <w:pStyle w:val="null3"/>
              <w:ind w:firstLine="480"/>
              <w:jc w:val="both"/>
            </w:pPr>
            <w:r>
              <w:rPr>
                <w:rFonts w:ascii="仿宋_GB2312" w:hAnsi="仿宋_GB2312" w:cs="仿宋_GB2312" w:eastAsia="仿宋_GB2312"/>
                <w:sz w:val="20"/>
                <w:b/>
                <w:color w:val="000000"/>
              </w:rPr>
              <w:t>2.3</w:t>
            </w:r>
            <w:r>
              <w:rPr>
                <w:rFonts w:ascii="仿宋_GB2312" w:hAnsi="仿宋_GB2312" w:cs="仿宋_GB2312" w:eastAsia="仿宋_GB2312"/>
                <w:sz w:val="20"/>
                <w:b/>
                <w:color w:val="000000"/>
              </w:rPr>
              <w:t>服务回访</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10分</w:t>
            </w:r>
            <w:r>
              <w:rPr>
                <w:rFonts w:ascii="仿宋_GB2312" w:hAnsi="仿宋_GB2312" w:cs="仿宋_GB2312" w:eastAsia="仿宋_GB2312"/>
                <w:sz w:val="20"/>
                <w:b/>
                <w:color w:val="000000"/>
              </w:rPr>
              <w:t>）</w:t>
            </w:r>
          </w:p>
          <w:p>
            <w:pPr>
              <w:pStyle w:val="null3"/>
            </w:pPr>
            <w:r>
              <w:rPr>
                <w:rFonts w:ascii="仿宋_GB2312" w:hAnsi="仿宋_GB2312" w:cs="仿宋_GB2312" w:eastAsia="仿宋_GB2312"/>
                <w:sz w:val="20"/>
                <w:color w:val="000000"/>
              </w:rPr>
              <w:t>服务人员要对用户报修故障解决情况在三天内进行跟踪回访，关注故障解决的进程和问题解决后用户的使用效果，对未解决的问题进行重复跟踪直至问题得到解决。</w:t>
            </w:r>
          </w:p>
          <w:p>
            <w:pPr>
              <w:pStyle w:val="null3"/>
            </w:pPr>
            <w:r>
              <w:rPr>
                <w:rFonts w:ascii="仿宋_GB2312" w:hAnsi="仿宋_GB2312" w:cs="仿宋_GB2312" w:eastAsia="仿宋_GB2312"/>
                <w:sz w:val="20"/>
                <w:color w:val="000000"/>
              </w:rPr>
              <w:t>服务人员每月至少两次对主要的业务经办机构进行主动电话回访,了解线路运行情况运行情况，并给予指导。项目经理每月至少一次对主要的业务经办机构进行实地回访,在业务经办机构现场了解整个网络的运行情况。</w:t>
            </w:r>
          </w:p>
          <w:p>
            <w:pPr>
              <w:pStyle w:val="null3"/>
              <w:ind w:firstLine="480"/>
              <w:jc w:val="both"/>
            </w:pPr>
            <w:r>
              <w:rPr>
                <w:rFonts w:ascii="仿宋_GB2312" w:hAnsi="仿宋_GB2312" w:cs="仿宋_GB2312" w:eastAsia="仿宋_GB2312"/>
                <w:sz w:val="20"/>
              </w:rPr>
              <w:t>本项总计10分，其中</w:t>
            </w:r>
            <w:r>
              <w:rPr>
                <w:rFonts w:ascii="仿宋_GB2312" w:hAnsi="仿宋_GB2312" w:cs="仿宋_GB2312" w:eastAsia="仿宋_GB2312"/>
                <w:sz w:val="20"/>
              </w:rPr>
              <w:t>对用户</w:t>
            </w:r>
            <w:r>
              <w:rPr>
                <w:rFonts w:ascii="仿宋_GB2312" w:hAnsi="仿宋_GB2312" w:cs="仿宋_GB2312" w:eastAsia="仿宋_GB2312"/>
                <w:sz w:val="20"/>
              </w:rPr>
              <w:t>报修故障的解决情况</w:t>
            </w:r>
            <w:r>
              <w:rPr>
                <w:rFonts w:ascii="仿宋_GB2312" w:hAnsi="仿宋_GB2312" w:cs="仿宋_GB2312" w:eastAsia="仿宋_GB2312"/>
                <w:sz w:val="20"/>
              </w:rPr>
              <w:t>能够进行电话跟踪回访的得</w:t>
            </w:r>
            <w:r>
              <w:rPr>
                <w:rFonts w:ascii="仿宋_GB2312" w:hAnsi="仿宋_GB2312" w:cs="仿宋_GB2312" w:eastAsia="仿宋_GB2312"/>
                <w:sz w:val="20"/>
              </w:rPr>
              <w:t>6</w:t>
            </w:r>
            <w:r>
              <w:rPr>
                <w:rFonts w:ascii="仿宋_GB2312" w:hAnsi="仿宋_GB2312" w:cs="仿宋_GB2312" w:eastAsia="仿宋_GB2312"/>
                <w:sz w:val="20"/>
              </w:rPr>
              <w:t>分，能够进行实地回访的得</w:t>
            </w:r>
            <w:r>
              <w:rPr>
                <w:rFonts w:ascii="仿宋_GB2312" w:hAnsi="仿宋_GB2312" w:cs="仿宋_GB2312" w:eastAsia="仿宋_GB2312"/>
                <w:sz w:val="20"/>
              </w:rPr>
              <w:t>4</w:t>
            </w:r>
            <w:r>
              <w:rPr>
                <w:rFonts w:ascii="仿宋_GB2312" w:hAnsi="仿宋_GB2312" w:cs="仿宋_GB2312" w:eastAsia="仿宋_GB2312"/>
                <w:sz w:val="20"/>
              </w:rPr>
              <w:t>分</w:t>
            </w:r>
            <w:r>
              <w:rPr>
                <w:rFonts w:ascii="仿宋_GB2312" w:hAnsi="仿宋_GB2312" w:cs="仿宋_GB2312" w:eastAsia="仿宋_GB2312"/>
                <w:sz w:val="20"/>
              </w:rPr>
              <w:t>。</w:t>
            </w:r>
          </w:p>
          <w:p>
            <w:pPr>
              <w:pStyle w:val="null3"/>
              <w:ind w:firstLine="480"/>
              <w:jc w:val="both"/>
            </w:pPr>
            <w:r>
              <w:rPr>
                <w:rFonts w:ascii="仿宋_GB2312" w:hAnsi="仿宋_GB2312" w:cs="仿宋_GB2312" w:eastAsia="仿宋_GB2312"/>
                <w:sz w:val="20"/>
                <w:b/>
                <w:color w:val="000000"/>
              </w:rPr>
              <w:t>2.4</w:t>
            </w:r>
            <w:r>
              <w:rPr>
                <w:rFonts w:ascii="仿宋_GB2312" w:hAnsi="仿宋_GB2312" w:cs="仿宋_GB2312" w:eastAsia="仿宋_GB2312"/>
                <w:sz w:val="20"/>
                <w:b/>
                <w:color w:val="000000"/>
              </w:rPr>
              <w:t>维护服务文档</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15分</w:t>
            </w:r>
            <w:r>
              <w:rPr>
                <w:rFonts w:ascii="仿宋_GB2312" w:hAnsi="仿宋_GB2312" w:cs="仿宋_GB2312" w:eastAsia="仿宋_GB2312"/>
                <w:sz w:val="20"/>
                <w:b/>
                <w:color w:val="000000"/>
              </w:rPr>
              <w:t>）</w:t>
            </w:r>
          </w:p>
          <w:p>
            <w:pPr>
              <w:pStyle w:val="null3"/>
            </w:pPr>
            <w:r>
              <w:rPr>
                <w:rFonts w:ascii="仿宋_GB2312" w:hAnsi="仿宋_GB2312" w:cs="仿宋_GB2312" w:eastAsia="仿宋_GB2312"/>
                <w:sz w:val="20"/>
                <w:color w:val="000000"/>
              </w:rPr>
              <w:t>电话服务记录以及现场服务记录每星期进行汇总，形成周报。每月形成月报，分类汇总线路运行中出现的问题，并制成总结报告，并交给客户存档。</w:t>
            </w:r>
          </w:p>
          <w:p>
            <w:pPr>
              <w:pStyle w:val="null3"/>
            </w:pPr>
            <w:r>
              <w:rPr>
                <w:rFonts w:ascii="仿宋_GB2312" w:hAnsi="仿宋_GB2312" w:cs="仿宋_GB2312" w:eastAsia="仿宋_GB2312"/>
                <w:sz w:val="20"/>
                <w:color w:val="000000"/>
              </w:rPr>
              <w:t>本项总计15分，全部完成得15分，周报、月报每少一期扣1分，扣完为止。</w:t>
            </w:r>
          </w:p>
          <w:p>
            <w:pPr>
              <w:pStyle w:val="null3"/>
              <w:ind w:firstLine="480"/>
              <w:jc w:val="both"/>
            </w:pPr>
            <w:r>
              <w:rPr>
                <w:rFonts w:ascii="仿宋_GB2312" w:hAnsi="仿宋_GB2312" w:cs="仿宋_GB2312" w:eastAsia="仿宋_GB2312"/>
                <w:sz w:val="20"/>
                <w:b/>
                <w:color w:val="000000"/>
              </w:rPr>
              <w:t>2.5</w:t>
            </w:r>
            <w:r>
              <w:rPr>
                <w:rFonts w:ascii="仿宋_GB2312" w:hAnsi="仿宋_GB2312" w:cs="仿宋_GB2312" w:eastAsia="仿宋_GB2312"/>
                <w:sz w:val="20"/>
                <w:b/>
                <w:color w:val="000000"/>
              </w:rPr>
              <w:t>服务人员管理</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20分</w:t>
            </w:r>
            <w:r>
              <w:rPr>
                <w:rFonts w:ascii="仿宋_GB2312" w:hAnsi="仿宋_GB2312" w:cs="仿宋_GB2312" w:eastAsia="仿宋_GB2312"/>
                <w:sz w:val="20"/>
                <w:b/>
                <w:color w:val="000000"/>
              </w:rPr>
              <w:t>）</w:t>
            </w:r>
          </w:p>
          <w:p>
            <w:pPr>
              <w:pStyle w:val="null3"/>
              <w:ind w:firstLine="480"/>
              <w:jc w:val="both"/>
            </w:pPr>
            <w:r>
              <w:rPr>
                <w:rFonts w:ascii="仿宋_GB2312" w:hAnsi="仿宋_GB2312" w:cs="仿宋_GB2312" w:eastAsia="仿宋_GB2312"/>
                <w:sz w:val="20"/>
                <w:color w:val="000000"/>
              </w:rPr>
              <w:t>服务单位必须7*24小时响应用户，服务人员不得以任何借口拖延解决时间。如果客户问题比较紧急将进行加班解决。</w:t>
            </w:r>
          </w:p>
          <w:p>
            <w:pPr>
              <w:pStyle w:val="null3"/>
              <w:ind w:firstLine="480"/>
              <w:jc w:val="both"/>
            </w:pPr>
            <w:r>
              <w:rPr>
                <w:rFonts w:ascii="仿宋_GB2312" w:hAnsi="仿宋_GB2312" w:cs="仿宋_GB2312" w:eastAsia="仿宋_GB2312"/>
                <w:sz w:val="20"/>
                <w:color w:val="000000"/>
              </w:rPr>
              <w:t>服务对象对运维服务人员按照服务态度和服务效果进行评价，服务态度的评价分为很满意、满意、一般、不满意四个等级；服务效果的评价分为全部解决、部分解决、未解决三个等级。</w:t>
            </w:r>
          </w:p>
          <w:p>
            <w:pPr>
              <w:pStyle w:val="null3"/>
              <w:ind w:firstLine="480"/>
              <w:jc w:val="both"/>
            </w:pPr>
            <w:r>
              <w:rPr>
                <w:rFonts w:ascii="仿宋_GB2312" w:hAnsi="仿宋_GB2312" w:cs="仿宋_GB2312" w:eastAsia="仿宋_GB2312"/>
                <w:sz w:val="20"/>
                <w:color w:val="000000"/>
              </w:rPr>
              <w:t>对服务对象所提到存在的问题及时进行改进，用户的投诉无论情节大小，都应以予以重视。本项总计20分，在规定的服务时限内，由于乙方的原因导致未按时完成的一次扣3分，由于乙方原因导致对服务人员服务态度评价为不满意一次扣3分，由于乙方原因导致对服务人员服务效果的评价为未解决一次扣5分。</w:t>
            </w:r>
          </w:p>
          <w:p>
            <w:pPr>
              <w:pStyle w:val="null3"/>
              <w:ind w:firstLine="480"/>
              <w:jc w:val="both"/>
            </w:pPr>
            <w:r>
              <w:rPr>
                <w:rFonts w:ascii="仿宋_GB2312" w:hAnsi="仿宋_GB2312" w:cs="仿宋_GB2312" w:eastAsia="仿宋_GB2312"/>
                <w:sz w:val="20"/>
                <w:color w:val="000000"/>
              </w:rPr>
              <w:t>由于甲方需求不明确、沟通审批不及时造成的问题未及时解决，</w:t>
            </w:r>
            <w:r>
              <w:rPr>
                <w:rFonts w:ascii="仿宋_GB2312" w:hAnsi="仿宋_GB2312" w:cs="仿宋_GB2312" w:eastAsia="仿宋_GB2312"/>
                <w:sz w:val="20"/>
                <w:color w:val="000000"/>
              </w:rPr>
              <w:t>不扣除对应分数。</w:t>
            </w:r>
          </w:p>
          <w:p>
            <w:pPr>
              <w:pStyle w:val="null3"/>
              <w:ind w:firstLine="480"/>
              <w:jc w:val="both"/>
            </w:pPr>
            <w:r>
              <w:rPr>
                <w:rFonts w:ascii="仿宋_GB2312" w:hAnsi="仿宋_GB2312" w:cs="仿宋_GB2312" w:eastAsia="仿宋_GB2312"/>
                <w:sz w:val="20"/>
                <w:b/>
                <w:color w:val="000000"/>
              </w:rPr>
              <w:t>2.6</w:t>
            </w:r>
            <w:r>
              <w:rPr>
                <w:rFonts w:ascii="仿宋_GB2312" w:hAnsi="仿宋_GB2312" w:cs="仿宋_GB2312" w:eastAsia="仿宋_GB2312"/>
                <w:sz w:val="20"/>
                <w:b/>
                <w:color w:val="000000"/>
              </w:rPr>
              <w:t>建立考核机制</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15分</w:t>
            </w:r>
            <w:r>
              <w:rPr>
                <w:rFonts w:ascii="仿宋_GB2312" w:hAnsi="仿宋_GB2312" w:cs="仿宋_GB2312" w:eastAsia="仿宋_GB2312"/>
                <w:sz w:val="20"/>
                <w:b/>
                <w:color w:val="000000"/>
              </w:rPr>
              <w:t>）</w:t>
            </w:r>
          </w:p>
          <w:p>
            <w:pPr>
              <w:pStyle w:val="null3"/>
              <w:ind w:firstLine="480"/>
              <w:jc w:val="both"/>
            </w:pPr>
            <w:r>
              <w:rPr>
                <w:rFonts w:ascii="仿宋_GB2312" w:hAnsi="仿宋_GB2312" w:cs="仿宋_GB2312" w:eastAsia="仿宋_GB2312"/>
                <w:sz w:val="20"/>
                <w:color w:val="000000"/>
              </w:rPr>
              <w:t>乙方对服务人员建立考核机制，对用户满意度、服务投诉、故障处理、文档规范等指标进行量化考核。</w:t>
            </w:r>
          </w:p>
          <w:p>
            <w:pPr>
              <w:pStyle w:val="null3"/>
              <w:ind w:firstLine="480"/>
              <w:jc w:val="both"/>
            </w:pPr>
            <w:r>
              <w:rPr>
                <w:rFonts w:ascii="仿宋_GB2312" w:hAnsi="仿宋_GB2312" w:cs="仿宋_GB2312" w:eastAsia="仿宋_GB2312"/>
                <w:sz w:val="20"/>
              </w:rPr>
              <w:t>本项总计15分，其中建立考核机制得</w:t>
            </w:r>
            <w:r>
              <w:rPr>
                <w:rFonts w:ascii="仿宋_GB2312" w:hAnsi="仿宋_GB2312" w:cs="仿宋_GB2312" w:eastAsia="仿宋_GB2312"/>
                <w:sz w:val="20"/>
              </w:rPr>
              <w:t>7</w:t>
            </w:r>
            <w:r>
              <w:rPr>
                <w:rFonts w:ascii="仿宋_GB2312" w:hAnsi="仿宋_GB2312" w:cs="仿宋_GB2312" w:eastAsia="仿宋_GB2312"/>
                <w:sz w:val="20"/>
              </w:rPr>
              <w:t>分，能够定期对服务人员进行了量化考核得</w:t>
            </w:r>
            <w:r>
              <w:rPr>
                <w:rFonts w:ascii="仿宋_GB2312" w:hAnsi="仿宋_GB2312" w:cs="仿宋_GB2312" w:eastAsia="仿宋_GB2312"/>
                <w:sz w:val="20"/>
              </w:rPr>
              <w:t>5</w:t>
            </w:r>
            <w:r>
              <w:rPr>
                <w:rFonts w:ascii="仿宋_GB2312" w:hAnsi="仿宋_GB2312" w:cs="仿宋_GB2312" w:eastAsia="仿宋_GB2312"/>
                <w:sz w:val="20"/>
              </w:rPr>
              <w:t>分，能够对用户反映问题较多、满意度较低的业务经办机构进行现场调研的得</w:t>
            </w:r>
            <w:r>
              <w:rPr>
                <w:rFonts w:ascii="仿宋_GB2312" w:hAnsi="仿宋_GB2312" w:cs="仿宋_GB2312" w:eastAsia="仿宋_GB2312"/>
                <w:sz w:val="20"/>
              </w:rPr>
              <w:t>3</w:t>
            </w:r>
            <w:r>
              <w:rPr>
                <w:rFonts w:ascii="仿宋_GB2312" w:hAnsi="仿宋_GB2312" w:cs="仿宋_GB2312" w:eastAsia="仿宋_GB2312"/>
                <w:sz w:val="20"/>
              </w:rPr>
              <w:t>分</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color w:val="000000"/>
              </w:rPr>
              <w:t>2、视频会议系统维护服务</w:t>
            </w:r>
          </w:p>
          <w:p>
            <w:pPr>
              <w:pStyle w:val="null3"/>
              <w:ind w:firstLine="400"/>
              <w:jc w:val="both"/>
            </w:pPr>
            <w:r>
              <w:rPr>
                <w:rFonts w:ascii="仿宋_GB2312" w:hAnsi="仿宋_GB2312" w:cs="仿宋_GB2312" w:eastAsia="仿宋_GB2312"/>
                <w:sz w:val="20"/>
                <w:color w:val="000000"/>
              </w:rPr>
              <w:t>视频会议系统包括业务专网视频会议系统和云视频服务系统，服务商要确保服务期内视频会议系统的设备质保和视频服务。</w:t>
            </w:r>
            <w:r>
              <w:rPr>
                <w:rFonts w:ascii="仿宋_GB2312" w:hAnsi="仿宋_GB2312" w:cs="仿宋_GB2312" w:eastAsia="仿宋_GB2312"/>
                <w:sz w:val="20"/>
                <w:color w:val="000000"/>
              </w:rPr>
              <w:t>具体服务列表如下：</w:t>
            </w:r>
          </w:p>
          <w:tbl>
            <w:tblPr>
              <w:tblBorders>
                <w:top w:val="none" w:color="000000" w:sz="4"/>
                <w:left w:val="none" w:color="000000" w:sz="4"/>
                <w:bottom w:val="none" w:color="000000" w:sz="4"/>
                <w:right w:val="none" w:color="000000" w:sz="4"/>
                <w:insideH w:val="none"/>
                <w:insideV w:val="none"/>
              </w:tblBorders>
            </w:tblPr>
            <w:tblGrid>
              <w:gridCol w:w="213"/>
              <w:gridCol w:w="886"/>
              <w:gridCol w:w="1254"/>
              <w:gridCol w:w="193"/>
            </w:tblGrid>
            <w:tr>
              <w:tc>
                <w:tcPr>
                  <w:tcW w:type="dxa" w:w="21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序号</w:t>
                  </w:r>
                </w:p>
              </w:tc>
              <w:tc>
                <w:tcPr>
                  <w:tcW w:type="dxa" w:w="88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类别</w:t>
                  </w:r>
                </w:p>
              </w:tc>
              <w:tc>
                <w:tcPr>
                  <w:tcW w:type="dxa" w:w="125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具体要求</w:t>
                  </w:r>
                </w:p>
              </w:tc>
              <w:tc>
                <w:tcPr>
                  <w:tcW w:type="dxa" w:w="19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数量</w:t>
                  </w:r>
                </w:p>
              </w:tc>
            </w:tr>
            <w:tr>
              <w:tc>
                <w:tcPr>
                  <w:tcW w:type="dxa" w:w="21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省级主会场视频会议终端</w:t>
                  </w:r>
                </w:p>
              </w:tc>
              <w:tc>
                <w:tcPr>
                  <w:tcW w:type="dxa" w:w="12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摄像机与主机一体化；12倍光学变焦，1080P60帧；含CP960话机；包含一年硬件账号使用费</w:t>
                  </w:r>
                </w:p>
              </w:tc>
              <w:tc>
                <w:tcPr>
                  <w:tcW w:type="dxa" w:w="1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w:t>
                  </w:r>
                </w:p>
              </w:tc>
            </w:tr>
            <w:tr>
              <w:tc>
                <w:tcPr>
                  <w:tcW w:type="dxa" w:w="21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2</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软件终端账号</w:t>
                  </w:r>
                </w:p>
              </w:tc>
              <w:tc>
                <w:tcPr>
                  <w:tcW w:type="dxa" w:w="12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软件终端视频会议账号</w:t>
                  </w:r>
                </w:p>
              </w:tc>
              <w:tc>
                <w:tcPr>
                  <w:tcW w:type="dxa" w:w="1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299</w:t>
                  </w:r>
                </w:p>
              </w:tc>
            </w:tr>
            <w:tr>
              <w:tc>
                <w:tcPr>
                  <w:tcW w:type="dxa" w:w="21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3</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会议室音视频设备维保及驻场服务</w:t>
                  </w:r>
                </w:p>
              </w:tc>
              <w:tc>
                <w:tcPr>
                  <w:tcW w:type="dxa" w:w="12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会议室音视频设备维保，包含大屏、音频扩声系统、视频矩阵、调音台、主会场视频会议终端设备维保、以及服务期内一名专业驻场视频会议平台维护及会控服务人员。</w:t>
                  </w:r>
                </w:p>
              </w:tc>
              <w:tc>
                <w:tcPr>
                  <w:tcW w:type="dxa" w:w="1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w:t>
                  </w:r>
                </w:p>
              </w:tc>
            </w:tr>
          </w:tbl>
          <w:p>
            <w:pPr>
              <w:pStyle w:val="null3"/>
              <w:jc w:val="both"/>
            </w:pPr>
            <w:r>
              <w:rPr>
                <w:rFonts w:ascii="仿宋_GB2312" w:hAnsi="仿宋_GB2312" w:cs="仿宋_GB2312" w:eastAsia="仿宋_GB2312"/>
                <w:sz w:val="20"/>
                <w:b/>
                <w:color w:val="000000"/>
              </w:rPr>
              <w:t>（1）</w:t>
            </w:r>
            <w:r>
              <w:rPr>
                <w:rFonts w:ascii="仿宋_GB2312" w:hAnsi="仿宋_GB2312" w:cs="仿宋_GB2312" w:eastAsia="仿宋_GB2312"/>
                <w:sz w:val="20"/>
                <w:b/>
                <w:color w:val="000000"/>
              </w:rPr>
              <w:t>业务专网视频会议系统。</w:t>
            </w:r>
            <w:r>
              <w:rPr>
                <w:rFonts w:ascii="仿宋_GB2312" w:hAnsi="仿宋_GB2312" w:cs="仿宋_GB2312" w:eastAsia="仿宋_GB2312"/>
                <w:sz w:val="20"/>
                <w:color w:val="000000"/>
              </w:rPr>
              <w:t>陕西省人力和社会保障厅视频会议系统上连至人力和社会保障部，下连12个市级人力资源和社会保障局分会场，主会场设立在省政府前大楼六楼。省级视频会议实现部、省、市三级视频会议、日常会议、信等功能，主要包括视频系统、显示系统和中控系统。具体功能如下：省级视频会议室部署高清级视频终端，部署摄像头采用720P标准；省级会场部署显示屏幕，用于召开日常视频会议、系统展示等功能，另外配备液晶电视作为补充图像输出；中控系统用于控制LED屏、电视、摄像头等设备，实现设备开启和功能切换。</w:t>
            </w:r>
            <w:r>
              <w:rPr>
                <w:rFonts w:ascii="仿宋_GB2312" w:hAnsi="仿宋_GB2312" w:cs="仿宋_GB2312" w:eastAsia="仿宋_GB2312"/>
                <w:sz w:val="20"/>
                <w:color w:val="000000"/>
              </w:rPr>
              <w:t>现有视频会议系统设备质保和服务。负责现有视频会议系统的设备质保、会议服务。质保设备包括视频会议MCU、视频终端、视频音频矩阵以及会议音箱系统。全年视频会议调试和召开期间，派驻1名工程师现场技术服务，负责整个会议系统的设备调试和召开会议。</w:t>
            </w:r>
          </w:p>
          <w:p>
            <w:pPr>
              <w:pStyle w:val="null3"/>
              <w:ind w:firstLine="402"/>
              <w:jc w:val="both"/>
            </w:pPr>
            <w:r>
              <w:rPr>
                <w:rFonts w:ascii="仿宋_GB2312" w:hAnsi="仿宋_GB2312" w:cs="仿宋_GB2312" w:eastAsia="仿宋_GB2312"/>
                <w:sz w:val="20"/>
                <w:b/>
                <w:color w:val="000000"/>
              </w:rPr>
              <w:t>（2）</w:t>
            </w:r>
            <w:r>
              <w:rPr>
                <w:rFonts w:ascii="仿宋_GB2312" w:hAnsi="仿宋_GB2312" w:cs="仿宋_GB2312" w:eastAsia="仿宋_GB2312"/>
                <w:sz w:val="20"/>
                <w:b/>
                <w:color w:val="000000"/>
              </w:rPr>
              <w:t>云视频会议系统。</w:t>
            </w:r>
            <w:r>
              <w:rPr>
                <w:rFonts w:ascii="仿宋_GB2312" w:hAnsi="仿宋_GB2312" w:cs="仿宋_GB2312" w:eastAsia="仿宋_GB2312"/>
                <w:sz w:val="20"/>
                <w:color w:val="000000"/>
              </w:rPr>
              <w:t>能够接入现有人社厅业务专线视频会议系统，并将视频、音频信号转发至云平台；接入终端音频能够接入现有平台，并进行发言、文稿演示等操作；支持会议录制以及文件管理，包括：下载、分享等功能。平台系统需达到重要信息系统等级保护测评三级要求。</w:t>
            </w:r>
          </w:p>
          <w:p>
            <w:pPr>
              <w:pStyle w:val="null3"/>
              <w:ind w:firstLine="402"/>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3</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云视频服务平台：</w:t>
            </w:r>
          </w:p>
          <w:p>
            <w:pPr>
              <w:pStyle w:val="null3"/>
              <w:ind w:firstLine="400"/>
              <w:jc w:val="both"/>
            </w:pPr>
            <w:r>
              <w:rPr>
                <w:rFonts w:ascii="仿宋_GB2312" w:hAnsi="仿宋_GB2312" w:cs="仿宋_GB2312" w:eastAsia="仿宋_GB2312"/>
                <w:sz w:val="20"/>
                <w:color w:val="000000"/>
              </w:rPr>
              <w:t>平台应采用云分布式架构，支持各参会点就近接入，智能路由选择。</w:t>
            </w:r>
          </w:p>
          <w:p>
            <w:pPr>
              <w:pStyle w:val="null3"/>
              <w:ind w:firstLine="400"/>
              <w:jc w:val="both"/>
            </w:pPr>
            <w:r>
              <w:rPr>
                <w:rFonts w:ascii="仿宋_GB2312" w:hAnsi="仿宋_GB2312" w:cs="仿宋_GB2312" w:eastAsia="仿宋_GB2312"/>
                <w:sz w:val="20"/>
                <w:color w:val="000000"/>
              </w:rPr>
              <w:t>支持全编全解，支持SIP、H.323国际标准通信协议。</w:t>
            </w:r>
          </w:p>
          <w:p>
            <w:pPr>
              <w:pStyle w:val="null3"/>
              <w:ind w:firstLine="400"/>
              <w:jc w:val="both"/>
            </w:pPr>
            <w:r>
              <w:rPr>
                <w:rFonts w:ascii="仿宋_GB2312" w:hAnsi="仿宋_GB2312" w:cs="仿宋_GB2312" w:eastAsia="仿宋_GB2312"/>
                <w:sz w:val="20"/>
                <w:color w:val="000000"/>
              </w:rPr>
              <w:t>平台支H.264视频编解码，并向下兼容H.263+、H.263视频编解码，保障现有终端后续切换平台的兼容性。平台支持G.722, G.729, AAC-LC等国际通用音频编解码协议；辅流支持H.239和BFCP高清动态双流。</w:t>
            </w:r>
          </w:p>
          <w:p>
            <w:pPr>
              <w:pStyle w:val="null3"/>
              <w:ind w:firstLine="400"/>
              <w:jc w:val="both"/>
            </w:pPr>
            <w:r>
              <w:rPr>
                <w:rFonts w:ascii="仿宋_GB2312" w:hAnsi="仿宋_GB2312" w:cs="仿宋_GB2312" w:eastAsia="仿宋_GB2312"/>
                <w:sz w:val="20"/>
                <w:color w:val="000000"/>
              </w:rPr>
              <w:t>支持会议中可设置不少于36个会场画面同时显示；支持不少于6种1+N布局模式支持PSTN电话入会，满足在网络信号差的情况下可通过电话入会方式参会，不错过重要会议；支持成员账号、设备账号、外部联系人账号的导入、导出，支持终端同步企业联系人。</w:t>
            </w:r>
          </w:p>
          <w:p>
            <w:pPr>
              <w:pStyle w:val="null3"/>
              <w:spacing w:after="120"/>
              <w:ind w:firstLine="402"/>
              <w:jc w:val="both"/>
            </w:pPr>
            <w:r>
              <w:rPr>
                <w:rFonts w:ascii="仿宋_GB2312" w:hAnsi="仿宋_GB2312" w:cs="仿宋_GB2312" w:eastAsia="仿宋_GB2312"/>
                <w:sz w:val="20"/>
                <w:b/>
                <w:color w:val="000000"/>
              </w:rPr>
              <w:t>（4）</w:t>
            </w:r>
            <w:r>
              <w:rPr>
                <w:rFonts w:ascii="仿宋_GB2312" w:hAnsi="仿宋_GB2312" w:cs="仿宋_GB2312" w:eastAsia="仿宋_GB2312"/>
                <w:sz w:val="20"/>
                <w:b/>
                <w:color w:val="000000"/>
              </w:rPr>
              <w:t>省级视频会议终端</w:t>
            </w:r>
            <w:r>
              <w:rPr>
                <w:rFonts w:ascii="仿宋_GB2312" w:hAnsi="仿宋_GB2312" w:cs="仿宋_GB2312" w:eastAsia="仿宋_GB2312"/>
                <w:sz w:val="20"/>
                <w:b/>
                <w:color w:val="000000"/>
              </w:rPr>
              <w:t>维护。</w:t>
            </w:r>
            <w:r>
              <w:rPr>
                <w:rFonts w:ascii="仿宋_GB2312" w:hAnsi="仿宋_GB2312" w:cs="仿宋_GB2312" w:eastAsia="仿宋_GB2312"/>
                <w:sz w:val="20"/>
                <w:color w:val="000000"/>
              </w:rPr>
              <w:t>采用云分布式架构，支持各参会点就近接入，智能路由选择；支持全编全解，支持SIP、H.323国际标准通信协议；平台支H.264视频编解码，并向下兼容H.263+、H.263视频编解码；平台支持G.722, G.729, AAC-LC等国际通用音频编解码协议，至少3种；</w:t>
            </w:r>
          </w:p>
          <w:p>
            <w:pPr>
              <w:pStyle w:val="null3"/>
              <w:jc w:val="both"/>
            </w:pPr>
            <w:r>
              <w:rPr>
                <w:rFonts w:ascii="仿宋_GB2312" w:hAnsi="仿宋_GB2312" w:cs="仿宋_GB2312" w:eastAsia="仿宋_GB2312"/>
                <w:sz w:val="20"/>
                <w:color w:val="000000"/>
              </w:rPr>
              <w:t>辅流支持H.239和BFCP高清动态双流；支持同时传输主路会场动态视频画面和辅路PC画面双路1080p 30fps同步传输；支持通过网页端、PC客户端、移动客户端预约会议；支持会议中可设置不少于36个会场画面同时显示；支持不少于6种1+N布局模式；支持成员账号、设备账号、外部联系人账号的导入、导出，支持终端同步企业联系人；支持将视频会议的视频、辅流和音频文件存储到服务器，根据网络环境情况选择录制1080p30fps、720p30fps、540p30fps、 360p30fps视频文件；支持录制文件管理，包括：下载、分享（链接分享、企业内部分享）、备注、重命名、回收站等。</w:t>
            </w:r>
          </w:p>
          <w:p>
            <w:pPr>
              <w:pStyle w:val="null3"/>
              <w:jc w:val="both"/>
            </w:pPr>
            <w:r>
              <w:rPr>
                <w:rFonts w:ascii="仿宋_GB2312" w:hAnsi="仿宋_GB2312" w:cs="仿宋_GB2312" w:eastAsia="仿宋_GB2312"/>
                <w:sz w:val="20"/>
                <w:b/>
                <w:color w:val="000000"/>
              </w:rPr>
              <w:t>3、</w:t>
            </w:r>
            <w:r>
              <w:rPr>
                <w:rFonts w:ascii="仿宋_GB2312" w:hAnsi="仿宋_GB2312" w:cs="仿宋_GB2312" w:eastAsia="仿宋_GB2312"/>
                <w:sz w:val="20"/>
                <w:b/>
                <w:color w:val="000000"/>
              </w:rPr>
              <w:t>综合办公系统运行维护</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1</w:t>
            </w:r>
            <w:r>
              <w:rPr>
                <w:rFonts w:ascii="仿宋_GB2312" w:hAnsi="仿宋_GB2312" w:cs="仿宋_GB2312" w:eastAsia="仿宋_GB2312"/>
                <w:sz w:val="20"/>
                <w:b/>
              </w:rPr>
              <w:t>）</w:t>
            </w:r>
            <w:r>
              <w:rPr>
                <w:rFonts w:ascii="仿宋_GB2312" w:hAnsi="仿宋_GB2312" w:cs="仿宋_GB2312" w:eastAsia="仿宋_GB2312"/>
                <w:sz w:val="20"/>
                <w:b/>
                <w:color w:val="000000"/>
              </w:rPr>
              <w:t>项目概述</w:t>
            </w:r>
          </w:p>
          <w:p>
            <w:pPr>
              <w:pStyle w:val="null3"/>
              <w:ind w:firstLine="400"/>
              <w:jc w:val="both"/>
            </w:pPr>
            <w:r>
              <w:rPr>
                <w:rFonts w:ascii="仿宋_GB2312" w:hAnsi="仿宋_GB2312" w:cs="仿宋_GB2312" w:eastAsia="仿宋_GB2312"/>
                <w:sz w:val="20"/>
                <w:color w:val="000000"/>
              </w:rPr>
              <w:t>陕西省人力资源和社会保障厅综合办公系统上线运行以来，经过近四年运行，运转情况良好，累计处理各类工作近五万条，各类文件超过五万篇，为厅机关的信息化建设及管理提升起到重要的作用，使政务协同平台更加有效的为政务管理服务，充分发挥信息资源的有效性、及时性和共享性，本项目致力于全力保障系统的正常稳定运行。</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2</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项目建设内容</w:t>
            </w:r>
          </w:p>
          <w:p>
            <w:pPr>
              <w:pStyle w:val="null3"/>
              <w:ind w:firstLine="318"/>
              <w:jc w:val="both"/>
            </w:pPr>
            <w:r>
              <w:rPr>
                <w:rFonts w:ascii="仿宋_GB2312" w:hAnsi="仿宋_GB2312" w:cs="仿宋_GB2312" w:eastAsia="仿宋_GB2312"/>
                <w:sz w:val="20"/>
                <w:color w:val="000000"/>
              </w:rPr>
              <w:t>2.1项目目标：完善及优化现有应用系统，通过对应用系统的修改、升级和维护，保证应用系统正常运行。</w:t>
            </w:r>
          </w:p>
          <w:p>
            <w:pPr>
              <w:pStyle w:val="null3"/>
              <w:ind w:firstLine="318"/>
              <w:jc w:val="both"/>
            </w:pPr>
            <w:r>
              <w:rPr>
                <w:rFonts w:ascii="仿宋_GB2312" w:hAnsi="仿宋_GB2312" w:cs="仿宋_GB2312" w:eastAsia="仿宋_GB2312"/>
                <w:sz w:val="20"/>
                <w:color w:val="000000"/>
              </w:rPr>
              <w:t>2.2项目范围</w:t>
            </w:r>
          </w:p>
          <w:tbl>
            <w:tblPr>
              <w:tblBorders>
                <w:top w:val="none" w:color="000000" w:sz="4"/>
                <w:left w:val="none" w:color="000000" w:sz="4"/>
                <w:bottom w:val="none" w:color="000000" w:sz="4"/>
                <w:right w:val="none" w:color="000000" w:sz="4"/>
                <w:insideH w:val="none"/>
                <w:insideV w:val="none"/>
              </w:tblBorders>
            </w:tblPr>
            <w:tblGrid>
              <w:gridCol w:w="297"/>
              <w:gridCol w:w="765"/>
              <w:gridCol w:w="851"/>
              <w:gridCol w:w="634"/>
            </w:tblGrid>
            <w:tr>
              <w:tc>
                <w:tcPr>
                  <w:tcW w:type="dxa" w:w="2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7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20"/>
                      <w:color w:val="000000"/>
                    </w:rPr>
                    <w:t>软件名称</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20"/>
                      <w:color w:val="000000"/>
                    </w:rPr>
                    <w:t>服务经办机构范围</w:t>
                  </w:r>
                </w:p>
              </w:tc>
              <w:tc>
                <w:tcPr>
                  <w:tcW w:type="dxa" w:w="6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color w:val="000000"/>
                    </w:rPr>
                    <w:t>运维周期</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20"/>
                      <w:color w:val="000000"/>
                    </w:rPr>
                    <w:t>1</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陕西省人力资源和社会保障厅综合办公系统</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陕西省人力资源和社会保障厅及下属事业单位</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0"/>
                      <w:color w:val="000000"/>
                    </w:rPr>
                    <w:t>14个月</w:t>
                  </w:r>
                </w:p>
              </w:tc>
            </w:tr>
          </w:tbl>
          <w:p>
            <w:pPr>
              <w:pStyle w:val="null3"/>
            </w:pPr>
            <w:r>
              <w:rPr>
                <w:rFonts w:ascii="仿宋_GB2312" w:hAnsi="仿宋_GB2312" w:cs="仿宋_GB2312" w:eastAsia="仿宋_GB2312"/>
                <w:sz w:val="20"/>
                <w:color w:val="000000"/>
              </w:rPr>
              <w:t>2.3综合办公系统软件功能</w:t>
            </w:r>
          </w:p>
          <w:tbl>
            <w:tblPr>
              <w:tblBorders>
                <w:top w:val="none" w:color="000000" w:sz="4"/>
                <w:left w:val="none" w:color="000000" w:sz="4"/>
                <w:bottom w:val="none" w:color="000000" w:sz="4"/>
                <w:right w:val="none" w:color="000000" w:sz="4"/>
                <w:insideH w:val="none"/>
                <w:insideV w:val="none"/>
              </w:tblBorders>
            </w:tblPr>
            <w:tblGrid>
              <w:gridCol w:w="337"/>
              <w:gridCol w:w="2215"/>
            </w:tblGrid>
            <w:tr>
              <w:tc>
                <w:tcPr>
                  <w:tcW w:type="dxa" w:w="3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05"/>
                    <w:jc w:val="both"/>
                  </w:pPr>
                  <w:r>
                    <w:rPr>
                      <w:rFonts w:ascii="仿宋_GB2312" w:hAnsi="仿宋_GB2312" w:cs="仿宋_GB2312" w:eastAsia="仿宋_GB2312"/>
                      <w:sz w:val="20"/>
                      <w:color w:val="000000"/>
                    </w:rPr>
                    <w:t>组织机构</w:t>
                  </w:r>
                </w:p>
                <w:p>
                  <w:pPr>
                    <w:pStyle w:val="null3"/>
                    <w:ind w:left="405"/>
                    <w:jc w:val="both"/>
                  </w:pPr>
                  <w:r>
                    <w:rPr>
                      <w:rFonts w:ascii="仿宋_GB2312" w:hAnsi="仿宋_GB2312" w:cs="仿宋_GB2312" w:eastAsia="仿宋_GB2312"/>
                      <w:sz w:val="20"/>
                      <w:color w:val="000000"/>
                    </w:rPr>
                    <w:t>管理</w:t>
                  </w:r>
                </w:p>
              </w:tc>
              <w:tc>
                <w:tcPr>
                  <w:tcW w:type="dxa" w:w="2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color w:val="000000"/>
                    </w:rPr>
                    <w:t>系统采取集中式部署，可在系统中为各下属单位建立逻辑上独立的子系统，子系统可独立管理。</w:t>
                  </w:r>
                </w:p>
                <w:p>
                  <w:pPr>
                    <w:pStyle w:val="null3"/>
                    <w:ind w:firstLine="400"/>
                    <w:jc w:val="both"/>
                  </w:pPr>
                  <w:r>
                    <w:rPr>
                      <w:rFonts w:ascii="仿宋_GB2312" w:hAnsi="仿宋_GB2312" w:cs="仿宋_GB2312" w:eastAsia="仿宋_GB2312"/>
                      <w:sz w:val="20"/>
                      <w:color w:val="000000"/>
                    </w:rPr>
                    <w:t>系统支持分级权限管理，各单位有独立的应用维护权限。</w:t>
                  </w:r>
                </w:p>
                <w:p>
                  <w:pPr>
                    <w:pStyle w:val="null3"/>
                    <w:ind w:firstLine="400"/>
                    <w:jc w:val="both"/>
                  </w:pPr>
                  <w:r>
                    <w:rPr>
                      <w:rFonts w:ascii="仿宋_GB2312" w:hAnsi="仿宋_GB2312" w:cs="仿宋_GB2312" w:eastAsia="仿宋_GB2312"/>
                      <w:sz w:val="20"/>
                      <w:color w:val="000000"/>
                    </w:rPr>
                    <w:t>各子系统管理员可以定义本机构的组织架构和应用，具有独立的管理和运维权限。</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人事管理</w:t>
                  </w:r>
                </w:p>
              </w:tc>
              <w:tc>
                <w:tcPr>
                  <w:tcW w:type="dxa" w:w="2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color w:val="000000"/>
                    </w:rPr>
                    <w:t>确保单位内部员工信息的准确性和完整性，确保员工信息的准确性和完整性，定期评估人事管理维护工作，识别存在的问题和不足，提出改进措施，优化人事管理流程，提高管理效率和质量。</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内控管理</w:t>
                  </w:r>
                </w:p>
              </w:tc>
              <w:tc>
                <w:tcPr>
                  <w:tcW w:type="dxa" w:w="2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color w:val="000000"/>
                    </w:rPr>
                    <w:t>对单位内部控制体系的规划和设计，确保企业运营和管理的有效性、合规性以及风险防范。内控管理涵盖了企业各个方面，包括收支、运营、合规、项目管理等。</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门户管理</w:t>
                  </w:r>
                </w:p>
              </w:tc>
              <w:tc>
                <w:tcPr>
                  <w:tcW w:type="dxa" w:w="2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color w:val="000000"/>
                    </w:rPr>
                    <w:t>系统支持统一单点登录，提供单点登录接口。</w:t>
                  </w:r>
                </w:p>
                <w:p>
                  <w:pPr>
                    <w:pStyle w:val="null3"/>
                    <w:ind w:firstLine="400"/>
                    <w:jc w:val="both"/>
                  </w:pPr>
                  <w:r>
                    <w:rPr>
                      <w:rFonts w:ascii="仿宋_GB2312" w:hAnsi="仿宋_GB2312" w:cs="仿宋_GB2312" w:eastAsia="仿宋_GB2312"/>
                      <w:sz w:val="20"/>
                      <w:color w:val="000000"/>
                    </w:rPr>
                    <w:t>具有内容管理发布功能，提供消息融合机制，具有数据集成功能，能通过一个界面显示出所有消息、主办和待办工作。</w:t>
                  </w:r>
                </w:p>
                <w:p>
                  <w:pPr>
                    <w:pStyle w:val="null3"/>
                    <w:ind w:firstLine="400"/>
                    <w:jc w:val="both"/>
                  </w:pPr>
                  <w:r>
                    <w:rPr>
                      <w:rFonts w:ascii="仿宋_GB2312" w:hAnsi="仿宋_GB2312" w:cs="仿宋_GB2312" w:eastAsia="仿宋_GB2312"/>
                      <w:sz w:val="20"/>
                      <w:color w:val="000000"/>
                    </w:rPr>
                    <w:t>提供门户定制功能，可同时订制多级组织门户、单位门户、和个人门户。根据单位不同，定制不同的风格和内容,可以增加多级门户模板类型。</w:t>
                  </w:r>
                </w:p>
                <w:p>
                  <w:pPr>
                    <w:pStyle w:val="null3"/>
                    <w:ind w:firstLine="400"/>
                    <w:jc w:val="both"/>
                  </w:pPr>
                  <w:r>
                    <w:rPr>
                      <w:rFonts w:ascii="仿宋_GB2312" w:hAnsi="仿宋_GB2312" w:cs="仿宋_GB2312" w:eastAsia="仿宋_GB2312"/>
                      <w:sz w:val="20"/>
                      <w:color w:val="000000"/>
                    </w:rPr>
                    <w:t>支持用户个性化设置，可以自定义页面布局和比例，能对标题、内容及显示图标等进行个性化设置。</w:t>
                  </w:r>
                </w:p>
                <w:p>
                  <w:pPr>
                    <w:pStyle w:val="null3"/>
                    <w:ind w:firstLine="400"/>
                    <w:jc w:val="both"/>
                  </w:pPr>
                  <w:r>
                    <w:rPr>
                      <w:rFonts w:ascii="仿宋_GB2312" w:hAnsi="仿宋_GB2312" w:cs="仿宋_GB2312" w:eastAsia="仿宋_GB2312"/>
                      <w:sz w:val="20"/>
                      <w:color w:val="000000"/>
                    </w:rPr>
                    <w:t>具有通知公告、弹出窗口、专题论坛、问卷调查等门户网站常用功能。</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公文处理</w:t>
                  </w:r>
                </w:p>
              </w:tc>
              <w:tc>
                <w:tcPr>
                  <w:tcW w:type="dxa" w:w="2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color w:val="000000"/>
                    </w:rPr>
                    <w:t>收发文管理：具有成熟和完善的收发文处理流程；可以进行收发监察、督办、催办；可以实现收发文流转的效率分析，办理时间效率情况分析；可以实现单位收文后关联发文、阅件转办件流程。</w:t>
                  </w:r>
                </w:p>
                <w:p>
                  <w:pPr>
                    <w:pStyle w:val="null3"/>
                    <w:ind w:firstLine="400"/>
                    <w:jc w:val="both"/>
                  </w:pPr>
                  <w:r>
                    <w:rPr>
                      <w:rFonts w:ascii="仿宋_GB2312" w:hAnsi="仿宋_GB2312" w:cs="仿宋_GB2312" w:eastAsia="仿宋_GB2312"/>
                      <w:sz w:val="20"/>
                      <w:color w:val="000000"/>
                    </w:rPr>
                    <w:t>公文流转：支持不同类型的公文电子流转，完成审批、填写意见、修改文件、审核留痕、文件归档等功能，可以进行公文签收跟踪、催收、统计；可按照固定流程进行流转，也可定制临时流程。</w:t>
                  </w:r>
                </w:p>
                <w:p>
                  <w:pPr>
                    <w:pStyle w:val="null3"/>
                    <w:ind w:firstLine="400"/>
                    <w:jc w:val="both"/>
                  </w:pPr>
                  <w:r>
                    <w:rPr>
                      <w:rFonts w:ascii="仿宋_GB2312" w:hAnsi="仿宋_GB2312" w:cs="仿宋_GB2312" w:eastAsia="仿宋_GB2312"/>
                      <w:sz w:val="20"/>
                      <w:color w:val="000000"/>
                    </w:rPr>
                    <w:t>发文支持手写签字和国内主流电子签章插件，能自动生成二维条码，收文能通过二维码扫描自动进行登记。</w:t>
                  </w:r>
                </w:p>
                <w:p>
                  <w:pPr>
                    <w:pStyle w:val="null3"/>
                    <w:ind w:firstLine="400"/>
                    <w:jc w:val="both"/>
                  </w:pPr>
                  <w:r>
                    <w:rPr>
                      <w:rFonts w:ascii="仿宋_GB2312" w:hAnsi="仿宋_GB2312" w:cs="仿宋_GB2312" w:eastAsia="仿宋_GB2312"/>
                      <w:sz w:val="20"/>
                      <w:color w:val="000000"/>
                    </w:rPr>
                    <w:t>签批授权：能够把个人的权限或者任务委托给其他用户，可指定授权终止时间，到期系统自动回收授权。具备系统预置授权和临时流程授权两种处理方式。</w:t>
                  </w:r>
                </w:p>
                <w:p>
                  <w:pPr>
                    <w:pStyle w:val="null3"/>
                    <w:ind w:firstLine="400"/>
                    <w:jc w:val="both"/>
                  </w:pPr>
                  <w:r>
                    <w:rPr>
                      <w:rFonts w:ascii="仿宋_GB2312" w:hAnsi="仿宋_GB2312" w:cs="仿宋_GB2312" w:eastAsia="仿宋_GB2312"/>
                      <w:sz w:val="20"/>
                      <w:color w:val="000000"/>
                    </w:rPr>
                    <w:t>监察督办：管理员可预先设定承办人的完成期限，对逾期尚未办理者，并通过短信、移动办公应用系统发催办通知，敦促尽快办理；系统定期统计超期限办理文件情况，可对公文办理过程进行监视，并对办理情况进行注评。</w:t>
                  </w:r>
                </w:p>
                <w:p>
                  <w:pPr>
                    <w:pStyle w:val="null3"/>
                    <w:ind w:firstLine="400"/>
                    <w:jc w:val="both"/>
                  </w:pPr>
                  <w:r>
                    <w:rPr>
                      <w:rFonts w:ascii="仿宋_GB2312" w:hAnsi="仿宋_GB2312" w:cs="仿宋_GB2312" w:eastAsia="仿宋_GB2312"/>
                      <w:sz w:val="20"/>
                      <w:color w:val="000000"/>
                    </w:rPr>
                    <w:t>历史记录：对正文的每次修改，要求保留原稿的修改痕迹，支持手写和触摸修改原痕迹留痕，文档有严格的版本控制；对于公文处理过程，要保留日志记录，可以清楚查阅到该公文的办理记录。</w:t>
                  </w:r>
                </w:p>
                <w:p>
                  <w:pPr>
                    <w:pStyle w:val="null3"/>
                    <w:ind w:firstLine="400"/>
                    <w:jc w:val="both"/>
                  </w:pPr>
                  <w:r>
                    <w:rPr>
                      <w:rFonts w:ascii="仿宋_GB2312" w:hAnsi="仿宋_GB2312" w:cs="仿宋_GB2312" w:eastAsia="仿宋_GB2312"/>
                      <w:sz w:val="20"/>
                      <w:color w:val="000000"/>
                    </w:rPr>
                    <w:t>公文处理：与MS office、WPS、永中等主流办公软件无缝衔接，办公正文可以实现文档在线编辑；发文处理中能自动进行公文自动套红。</w:t>
                  </w:r>
                </w:p>
                <w:p>
                  <w:pPr>
                    <w:pStyle w:val="null3"/>
                    <w:ind w:firstLine="400"/>
                    <w:jc w:val="both"/>
                  </w:pPr>
                  <w:r>
                    <w:rPr>
                      <w:rFonts w:ascii="仿宋_GB2312" w:hAnsi="仿宋_GB2312" w:cs="仿宋_GB2312" w:eastAsia="仿宋_GB2312"/>
                      <w:sz w:val="20"/>
                      <w:color w:val="000000"/>
                    </w:rPr>
                    <w:t>内部公文交换：内部公文交换用于完成系统内各单位之间的公文交换，以及外来公文的签收；公文交换提供送文单和签收单，签收后自动回执信息记录到送文单。</w:t>
                  </w:r>
                </w:p>
                <w:p>
                  <w:pPr>
                    <w:pStyle w:val="null3"/>
                    <w:ind w:firstLine="400"/>
                    <w:jc w:val="both"/>
                  </w:pPr>
                  <w:r>
                    <w:rPr>
                      <w:rFonts w:ascii="仿宋_GB2312" w:hAnsi="仿宋_GB2312" w:cs="仿宋_GB2312" w:eastAsia="仿宋_GB2312"/>
                      <w:sz w:val="20"/>
                      <w:color w:val="000000"/>
                    </w:rPr>
                    <w:t>多种批示方式：支持如电子签名,语音审批,手写等多种批示方式；支持在签报和正文上手写批示。</w:t>
                  </w:r>
                </w:p>
                <w:p>
                  <w:pPr>
                    <w:pStyle w:val="null3"/>
                    <w:ind w:firstLine="400"/>
                    <w:jc w:val="both"/>
                  </w:pPr>
                  <w:r>
                    <w:rPr>
                      <w:rFonts w:ascii="仿宋_GB2312" w:hAnsi="仿宋_GB2312" w:cs="仿宋_GB2312" w:eastAsia="仿宋_GB2312"/>
                      <w:sz w:val="20"/>
                      <w:color w:val="000000"/>
                    </w:rPr>
                    <w:t>支持单独会签、流程会签和单个会签的处理方式。</w:t>
                  </w:r>
                </w:p>
                <w:p>
                  <w:pPr>
                    <w:pStyle w:val="null3"/>
                    <w:ind w:firstLine="400"/>
                    <w:jc w:val="both"/>
                  </w:pPr>
                  <w:r>
                    <w:rPr>
                      <w:rFonts w:ascii="仿宋_GB2312" w:hAnsi="仿宋_GB2312" w:cs="仿宋_GB2312" w:eastAsia="仿宋_GB2312"/>
                      <w:sz w:val="20"/>
                      <w:color w:val="000000"/>
                    </w:rPr>
                    <w:t>公文流转统计：办理时间、重办、注评情况、修改情况等内容。</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目标管理</w:t>
                  </w:r>
                </w:p>
              </w:tc>
              <w:tc>
                <w:tcPr>
                  <w:tcW w:type="dxa" w:w="2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color w:val="000000"/>
                    </w:rPr>
                    <w:t>基本功能要求：能够在系统上安排个人的工作、活动、计划等事项；可以在系统中制定个人或部门的日计划和周计划等。</w:t>
                  </w:r>
                </w:p>
                <w:p>
                  <w:pPr>
                    <w:pStyle w:val="null3"/>
                    <w:ind w:firstLine="400"/>
                    <w:jc w:val="left"/>
                  </w:pPr>
                  <w:r>
                    <w:rPr>
                      <w:rFonts w:ascii="仿宋_GB2312" w:hAnsi="仿宋_GB2312" w:cs="仿宋_GB2312" w:eastAsia="仿宋_GB2312"/>
                      <w:sz w:val="20"/>
                      <w:color w:val="000000"/>
                    </w:rPr>
                    <w:t>领导日程安排:一周工作动态，仅供有权限部门或个人查看，也可形成日程表，向相关人员发放。</w:t>
                  </w:r>
                </w:p>
                <w:p>
                  <w:pPr>
                    <w:pStyle w:val="null3"/>
                    <w:ind w:firstLine="400"/>
                    <w:jc w:val="left"/>
                  </w:pPr>
                  <w:r>
                    <w:rPr>
                      <w:rFonts w:ascii="仿宋_GB2312" w:hAnsi="仿宋_GB2312" w:cs="仿宋_GB2312" w:eastAsia="仿宋_GB2312"/>
                      <w:sz w:val="20"/>
                      <w:color w:val="000000"/>
                    </w:rPr>
                    <w:t>任务管理：对组织目标的任务进行指定、分解、落实、跟踪，确保目标的执行效果和结果。</w:t>
                  </w:r>
                </w:p>
                <w:p>
                  <w:pPr>
                    <w:pStyle w:val="null3"/>
                    <w:ind w:firstLine="400"/>
                    <w:jc w:val="left"/>
                  </w:pPr>
                  <w:r>
                    <w:rPr>
                      <w:rFonts w:ascii="仿宋_GB2312" w:hAnsi="仿宋_GB2312" w:cs="仿宋_GB2312" w:eastAsia="仿宋_GB2312"/>
                      <w:sz w:val="20"/>
                      <w:color w:val="000000"/>
                    </w:rPr>
                    <w:t>与其他功能相结合，如会议管理等；日程安排可以同步到移动终端。</w:t>
                  </w:r>
                </w:p>
                <w:p>
                  <w:pPr>
                    <w:pStyle w:val="null3"/>
                    <w:ind w:firstLine="400"/>
                    <w:jc w:val="left"/>
                  </w:pPr>
                  <w:r>
                    <w:rPr>
                      <w:rFonts w:ascii="仿宋_GB2312" w:hAnsi="仿宋_GB2312" w:cs="仿宋_GB2312" w:eastAsia="仿宋_GB2312"/>
                      <w:sz w:val="20"/>
                      <w:color w:val="000000"/>
                    </w:rPr>
                    <w:t>能够把工作任务指定到指定机构和具体的人员，并设定完成时间，到期提醒，进行督办和催办，任务完成情况要反馈到指派人。</w:t>
                  </w:r>
                </w:p>
                <w:p>
                  <w:pPr>
                    <w:pStyle w:val="null3"/>
                    <w:ind w:firstLine="400"/>
                    <w:jc w:val="left"/>
                  </w:pPr>
                  <w:r>
                    <w:rPr>
                      <w:rFonts w:ascii="仿宋_GB2312" w:hAnsi="仿宋_GB2312" w:cs="仿宋_GB2312" w:eastAsia="仿宋_GB2312"/>
                      <w:sz w:val="20"/>
                      <w:color w:val="000000"/>
                    </w:rPr>
                    <w:t>办理情况报告：经办人在实施过程中按计划报告办理情况。</w:t>
                  </w:r>
                </w:p>
                <w:p>
                  <w:pPr>
                    <w:pStyle w:val="null3"/>
                    <w:ind w:firstLine="400"/>
                    <w:jc w:val="left"/>
                  </w:pPr>
                  <w:r>
                    <w:rPr>
                      <w:rFonts w:ascii="仿宋_GB2312" w:hAnsi="仿宋_GB2312" w:cs="仿宋_GB2312" w:eastAsia="仿宋_GB2312"/>
                      <w:sz w:val="20"/>
                      <w:color w:val="000000"/>
                    </w:rPr>
                    <w:t>监督催办：任务负责人可查看所安排的任务并查看计划的详细信息，可进行手动催办操作或系统也可按规则实施自动催办。</w:t>
                  </w:r>
                </w:p>
                <w:p>
                  <w:pPr>
                    <w:pStyle w:val="null3"/>
                    <w:ind w:firstLine="400"/>
                    <w:jc w:val="left"/>
                  </w:pPr>
                  <w:r>
                    <w:rPr>
                      <w:rFonts w:ascii="仿宋_GB2312" w:hAnsi="仿宋_GB2312" w:cs="仿宋_GB2312" w:eastAsia="仿宋_GB2312"/>
                      <w:sz w:val="20"/>
                      <w:color w:val="000000"/>
                    </w:rPr>
                    <w:t>经办评估：任务负责人对已反馈的计划信息进行确认，并对该任务进行评分或评级。</w:t>
                  </w:r>
                </w:p>
                <w:p>
                  <w:pPr>
                    <w:pStyle w:val="null3"/>
                    <w:ind w:firstLine="400"/>
                    <w:jc w:val="left"/>
                  </w:pPr>
                  <w:r>
                    <w:rPr>
                      <w:rFonts w:ascii="仿宋_GB2312" w:hAnsi="仿宋_GB2312" w:cs="仿宋_GB2312" w:eastAsia="仿宋_GB2312"/>
                      <w:sz w:val="20"/>
                      <w:color w:val="000000"/>
                    </w:rPr>
                    <w:t>考勤签到：具备工作人员的办公签到功能，授权查看他人位置信息。</w:t>
                  </w:r>
                </w:p>
                <w:p>
                  <w:pPr>
                    <w:pStyle w:val="null3"/>
                    <w:ind w:firstLine="400"/>
                    <w:jc w:val="left"/>
                  </w:pPr>
                  <w:r>
                    <w:rPr>
                      <w:rFonts w:ascii="仿宋_GB2312" w:hAnsi="仿宋_GB2312" w:cs="仿宋_GB2312" w:eastAsia="仿宋_GB2312"/>
                      <w:sz w:val="20"/>
                      <w:color w:val="000000"/>
                    </w:rPr>
                    <w:t>浏览查询：相关领导及任务负责人可查看所有安排的任务，可实现组合查询。</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信息管理</w:t>
                  </w:r>
                </w:p>
              </w:tc>
              <w:tc>
                <w:tcPr>
                  <w:tcW w:type="dxa" w:w="2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color w:val="000000"/>
                    </w:rPr>
                    <w:t>提供公共信息管理模块，可以使用自定义的方式实现信息类别的管理。</w:t>
                  </w:r>
                </w:p>
                <w:p>
                  <w:pPr>
                    <w:pStyle w:val="null3"/>
                    <w:ind w:firstLine="400"/>
                    <w:jc w:val="left"/>
                  </w:pPr>
                  <w:r>
                    <w:rPr>
                      <w:rFonts w:ascii="仿宋_GB2312" w:hAnsi="仿宋_GB2312" w:cs="仿宋_GB2312" w:eastAsia="仿宋_GB2312"/>
                      <w:sz w:val="20"/>
                      <w:color w:val="000000"/>
                    </w:rPr>
                    <w:t>提供新闻的编制，摘要，审核新闻，并发送新闻到相应的信息空间。</w:t>
                  </w:r>
                </w:p>
                <w:p>
                  <w:pPr>
                    <w:pStyle w:val="null3"/>
                    <w:ind w:firstLine="400"/>
                    <w:jc w:val="left"/>
                  </w:pPr>
                  <w:r>
                    <w:rPr>
                      <w:rFonts w:ascii="仿宋_GB2312" w:hAnsi="仿宋_GB2312" w:cs="仿宋_GB2312" w:eastAsia="仿宋_GB2312"/>
                      <w:sz w:val="20"/>
                      <w:color w:val="000000"/>
                    </w:rPr>
                    <w:t>提供信息上报功能，上报人新建信息，包括编辑信息内容，提出信息审批流程等。</w:t>
                  </w:r>
                </w:p>
                <w:p>
                  <w:pPr>
                    <w:pStyle w:val="null3"/>
                    <w:ind w:firstLine="400"/>
                    <w:jc w:val="left"/>
                  </w:pPr>
                  <w:r>
                    <w:rPr>
                      <w:rFonts w:ascii="仿宋_GB2312" w:hAnsi="仿宋_GB2312" w:cs="仿宋_GB2312" w:eastAsia="仿宋_GB2312"/>
                      <w:sz w:val="20"/>
                      <w:color w:val="000000"/>
                    </w:rPr>
                    <w:t>信息审核功能包括：信息接收，信息审批，信息签发，信息采编。</w:t>
                  </w:r>
                </w:p>
                <w:p>
                  <w:pPr>
                    <w:pStyle w:val="null3"/>
                    <w:ind w:firstLine="400"/>
                    <w:jc w:val="left"/>
                  </w:pPr>
                  <w:r>
                    <w:rPr>
                      <w:rFonts w:ascii="仿宋_GB2312" w:hAnsi="仿宋_GB2312" w:cs="仿宋_GB2312" w:eastAsia="仿宋_GB2312"/>
                      <w:sz w:val="20"/>
                      <w:color w:val="000000"/>
                    </w:rPr>
                    <w:t>信息发布可实现与门户网站的整合，信息发布栏目与门户网站栏目建立对应关系，政务公开的部分可以直接推送到门户网站，也可以设置必须经过审核后才可推送。</w:t>
                  </w:r>
                </w:p>
                <w:p>
                  <w:pPr>
                    <w:pStyle w:val="null3"/>
                    <w:ind w:firstLine="400"/>
                    <w:jc w:val="left"/>
                  </w:pPr>
                  <w:r>
                    <w:rPr>
                      <w:rFonts w:ascii="仿宋_GB2312" w:hAnsi="仿宋_GB2312" w:cs="仿宋_GB2312" w:eastAsia="仿宋_GB2312"/>
                      <w:sz w:val="20"/>
                      <w:color w:val="000000"/>
                    </w:rPr>
                    <w:t>统计考核：便于考核，对信息的数量、类别进行统计。</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事务管理</w:t>
                  </w:r>
                </w:p>
              </w:tc>
              <w:tc>
                <w:tcPr>
                  <w:tcW w:type="dxa" w:w="2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color w:val="000000"/>
                    </w:rPr>
                    <w:t>1）完成各项办公的事务事件的发起、处理和管理，并记录办公的过程和结果，完成各项沟通、审批、汇报等工作。</w:t>
                  </w:r>
                </w:p>
                <w:p>
                  <w:pPr>
                    <w:pStyle w:val="null3"/>
                    <w:ind w:firstLine="400"/>
                    <w:jc w:val="left"/>
                  </w:pPr>
                  <w:r>
                    <w:rPr>
                      <w:rFonts w:ascii="仿宋_GB2312" w:hAnsi="仿宋_GB2312" w:cs="仿宋_GB2312" w:eastAsia="仿宋_GB2312"/>
                      <w:sz w:val="20"/>
                      <w:color w:val="000000"/>
                    </w:rPr>
                    <w:t>2）实现单位内部的日常办公业务管理、制度流程的审批管理；定制和发起各个办公流程、制度流程、业务流程的实现；提供单据设计工具，用户可根据需求自由定义各种单据，如请假条、出差申请、车辆申批、费用报销、招待用餐等功能；</w:t>
                  </w:r>
                </w:p>
                <w:p>
                  <w:pPr>
                    <w:pStyle w:val="null3"/>
                    <w:ind w:firstLine="400"/>
                    <w:jc w:val="left"/>
                  </w:pPr>
                  <w:r>
                    <w:rPr>
                      <w:rFonts w:ascii="仿宋_GB2312" w:hAnsi="仿宋_GB2312" w:cs="仿宋_GB2312" w:eastAsia="仿宋_GB2312"/>
                      <w:sz w:val="20"/>
                      <w:color w:val="000000"/>
                    </w:rPr>
                    <w:t>3）对于已提交的单据申请流程，可进行流程单据跟踪，以及当前流程处理的状态信息。</w:t>
                  </w:r>
                </w:p>
                <w:p>
                  <w:pPr>
                    <w:pStyle w:val="null3"/>
                    <w:ind w:firstLine="400"/>
                    <w:jc w:val="left"/>
                  </w:pPr>
                  <w:r>
                    <w:rPr>
                      <w:rFonts w:ascii="仿宋_GB2312" w:hAnsi="仿宋_GB2312" w:cs="仿宋_GB2312" w:eastAsia="仿宋_GB2312"/>
                      <w:sz w:val="20"/>
                      <w:color w:val="000000"/>
                    </w:rPr>
                    <w:t>4）提供各种用款的在线提交、审批、报销登记功能；提供与费用管理系统的接口。</w:t>
                  </w:r>
                </w:p>
                <w:p>
                  <w:pPr>
                    <w:pStyle w:val="null3"/>
                    <w:ind w:firstLine="400"/>
                    <w:jc w:val="left"/>
                  </w:pPr>
                  <w:r>
                    <w:rPr>
                      <w:rFonts w:ascii="仿宋_GB2312" w:hAnsi="仿宋_GB2312" w:cs="仿宋_GB2312" w:eastAsia="仿宋_GB2312"/>
                      <w:sz w:val="20"/>
                      <w:color w:val="000000"/>
                    </w:rPr>
                    <w:t>5）审批流程提醒。在审批工作中可以随时调用沟通交流平台中的短信、邮件、即时通信等工具，对流程中的审批通知、提醒等进行多种形式的提醒。</w:t>
                  </w:r>
                </w:p>
                <w:p>
                  <w:pPr>
                    <w:pStyle w:val="null3"/>
                    <w:ind w:firstLine="400"/>
                    <w:jc w:val="left"/>
                  </w:pPr>
                  <w:r>
                    <w:rPr>
                      <w:rFonts w:ascii="仿宋_GB2312" w:hAnsi="仿宋_GB2312" w:cs="仿宋_GB2312" w:eastAsia="仿宋_GB2312"/>
                      <w:sz w:val="20"/>
                      <w:color w:val="000000"/>
                    </w:rPr>
                    <w:t>6）请示报告：下级对上级的工作以及重要事项的请示，实现关键事件请示、汇报、批示等功能。</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会议管理</w:t>
                  </w:r>
                </w:p>
              </w:tc>
              <w:tc>
                <w:tcPr>
                  <w:tcW w:type="dxa" w:w="2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color w:val="000000"/>
                    </w:rPr>
                    <w:t>具有会议方案制定、会议拟批、会议计划、会议室查询安排、会议通知 、参会人上报、会议签到统计、会议纪要等完整流程。</w:t>
                  </w:r>
                </w:p>
                <w:p>
                  <w:pPr>
                    <w:pStyle w:val="null3"/>
                    <w:ind w:firstLine="400"/>
                    <w:jc w:val="left"/>
                  </w:pPr>
                  <w:r>
                    <w:rPr>
                      <w:rFonts w:ascii="仿宋_GB2312" w:hAnsi="仿宋_GB2312" w:cs="仿宋_GB2312" w:eastAsia="仿宋_GB2312"/>
                      <w:sz w:val="20"/>
                      <w:color w:val="000000"/>
                    </w:rPr>
                    <w:t>可按未开会议、正开会议和已开会议进行分类管理查询；也可按时间和类别进行管理和查询。</w:t>
                  </w:r>
                </w:p>
                <w:p>
                  <w:pPr>
                    <w:pStyle w:val="null3"/>
                    <w:ind w:firstLine="400"/>
                    <w:jc w:val="left"/>
                  </w:pPr>
                  <w:r>
                    <w:rPr>
                      <w:rFonts w:ascii="仿宋_GB2312" w:hAnsi="仿宋_GB2312" w:cs="仿宋_GB2312" w:eastAsia="仿宋_GB2312"/>
                      <w:sz w:val="20"/>
                      <w:color w:val="000000"/>
                    </w:rPr>
                    <w:t>会议纪要直接发布在会议召开的记录中，使得所有与会人员查看，会议结束后进行会议纪要的整理、审核。</w:t>
                  </w:r>
                </w:p>
                <w:p>
                  <w:pPr>
                    <w:pStyle w:val="null3"/>
                    <w:ind w:firstLine="400"/>
                    <w:jc w:val="left"/>
                  </w:pPr>
                  <w:r>
                    <w:rPr>
                      <w:rFonts w:ascii="仿宋_GB2312" w:hAnsi="仿宋_GB2312" w:cs="仿宋_GB2312" w:eastAsia="仿宋_GB2312"/>
                      <w:sz w:val="20"/>
                      <w:color w:val="000000"/>
                    </w:rPr>
                    <w:t>对于重要的会议，可以直接与领导日程关联；所有会议第一时间通知到领导，领导还可以通过手机或平板电脑进行处理。</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移动办公</w:t>
                  </w:r>
                </w:p>
              </w:tc>
              <w:tc>
                <w:tcPr>
                  <w:tcW w:type="dxa" w:w="2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color w:val="000000"/>
                    </w:rPr>
                    <w:t>系统支持目前主流的智能终端，包括IOS平台、Android平台，能通过WEB浏览器、客户端等多种方式登录。</w:t>
                  </w:r>
                </w:p>
                <w:p>
                  <w:pPr>
                    <w:pStyle w:val="null3"/>
                    <w:ind w:firstLine="400"/>
                    <w:jc w:val="left"/>
                  </w:pPr>
                  <w:r>
                    <w:rPr>
                      <w:rFonts w:ascii="仿宋_GB2312" w:hAnsi="仿宋_GB2312" w:cs="仿宋_GB2312" w:eastAsia="仿宋_GB2312"/>
                      <w:sz w:val="20"/>
                      <w:color w:val="000000"/>
                    </w:rPr>
                    <w:t>在移动终端上应能发起、转交、结束流程，移动终端上能在线阅读office、PDF等主流文档文件，支持手机手写,语音审批。</w:t>
                  </w:r>
                </w:p>
                <w:p>
                  <w:pPr>
                    <w:pStyle w:val="null3"/>
                    <w:ind w:firstLine="400"/>
                    <w:jc w:val="left"/>
                  </w:pPr>
                  <w:r>
                    <w:rPr>
                      <w:rFonts w:ascii="仿宋_GB2312" w:hAnsi="仿宋_GB2312" w:cs="仿宋_GB2312" w:eastAsia="仿宋_GB2312"/>
                      <w:sz w:val="20"/>
                      <w:color w:val="000000"/>
                    </w:rPr>
                    <w:t>在移动终端上应具备办公签到功能，授权查看他人位置信息。</w:t>
                  </w:r>
                </w:p>
                <w:p>
                  <w:pPr>
                    <w:pStyle w:val="null3"/>
                    <w:ind w:firstLine="400"/>
                    <w:jc w:val="left"/>
                  </w:pPr>
                  <w:r>
                    <w:rPr>
                      <w:rFonts w:ascii="仿宋_GB2312" w:hAnsi="仿宋_GB2312" w:cs="仿宋_GB2312" w:eastAsia="仿宋_GB2312"/>
                      <w:sz w:val="20"/>
                      <w:color w:val="000000"/>
                    </w:rPr>
                    <w:t>移动终端应用要能处理相关公文、会议及其他政务事务，查看各种发布信息。具有消息发送、信息推送、日程安排提醒、会议助理等功能。</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接口开发</w:t>
                  </w:r>
                </w:p>
              </w:tc>
              <w:tc>
                <w:tcPr>
                  <w:tcW w:type="dxa" w:w="2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color w:val="000000"/>
                    </w:rPr>
                    <w:t>短信接口：完成办公系统和短信接口的开发；</w:t>
                  </w:r>
                </w:p>
                <w:p>
                  <w:pPr>
                    <w:pStyle w:val="null3"/>
                    <w:ind w:firstLine="400"/>
                    <w:jc w:val="left"/>
                  </w:pPr>
                  <w:r>
                    <w:rPr>
                      <w:rFonts w:ascii="仿宋_GB2312" w:hAnsi="仿宋_GB2312" w:cs="仿宋_GB2312" w:eastAsia="仿宋_GB2312"/>
                      <w:sz w:val="20"/>
                      <w:color w:val="000000"/>
                    </w:rPr>
                    <w:t>与CA认证的接口：完成与CA认证的接口开发，要求签名验证通过CA服务器的合法认证；签名后，要求对指定的重要数据，进行保护，防止篡改。</w:t>
                  </w:r>
                </w:p>
                <w:p>
                  <w:pPr>
                    <w:pStyle w:val="null3"/>
                    <w:ind w:firstLine="400"/>
                    <w:jc w:val="left"/>
                  </w:pPr>
                  <w:r>
                    <w:rPr>
                      <w:rFonts w:ascii="仿宋_GB2312" w:hAnsi="仿宋_GB2312" w:cs="仿宋_GB2312" w:eastAsia="仿宋_GB2312"/>
                      <w:sz w:val="20"/>
                      <w:color w:val="000000"/>
                    </w:rPr>
                    <w:t>与厅门户网站的接口：完成与厅门户网站接口开发，综合办公系统的对外公开文件、宣传稿和消息可以实施发送至门户网站。</w:t>
                  </w:r>
                </w:p>
                <w:p>
                  <w:pPr>
                    <w:pStyle w:val="null3"/>
                    <w:ind w:firstLine="400"/>
                    <w:jc w:val="left"/>
                  </w:pPr>
                  <w:r>
                    <w:rPr>
                      <w:rFonts w:ascii="仿宋_GB2312" w:hAnsi="仿宋_GB2312" w:cs="仿宋_GB2312" w:eastAsia="仿宋_GB2312"/>
                      <w:sz w:val="20"/>
                      <w:color w:val="000000"/>
                    </w:rPr>
                    <w:t>与人力资源和社会保障业务系统的接口：完成与部分人力资源和社会保障业务系统接口的开发，向内部人员定向推送、展示业务信息，具有图表统计、综合汇总等功能。</w:t>
                  </w:r>
                </w:p>
                <w:p>
                  <w:pPr>
                    <w:pStyle w:val="null3"/>
                    <w:ind w:firstLine="400"/>
                    <w:jc w:val="left"/>
                  </w:pPr>
                  <w:r>
                    <w:rPr>
                      <w:rFonts w:ascii="仿宋_GB2312" w:hAnsi="仿宋_GB2312" w:cs="仿宋_GB2312" w:eastAsia="仿宋_GB2312"/>
                      <w:sz w:val="20"/>
                      <w:color w:val="000000"/>
                    </w:rPr>
                    <w:t>与厅目标责任考核系统、人社业务网上审批系统的接口：完成与以上两个系统的系统接口开发。</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系统管理</w:t>
                  </w:r>
                </w:p>
              </w:tc>
              <w:tc>
                <w:tcPr>
                  <w:tcW w:type="dxa" w:w="2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color w:val="000000"/>
                    </w:rPr>
                    <w:t>系统提供部门定义、岗位定义和人员定义功能，能够分配岗位，并对机构、部门、岗位、人员进行权限的分配，并支持权限的继承。</w:t>
                  </w:r>
                </w:p>
                <w:p>
                  <w:pPr>
                    <w:pStyle w:val="null3"/>
                    <w:ind w:firstLine="400"/>
                    <w:jc w:val="left"/>
                  </w:pPr>
                  <w:r>
                    <w:rPr>
                      <w:rFonts w:ascii="仿宋_GB2312" w:hAnsi="仿宋_GB2312" w:cs="仿宋_GB2312" w:eastAsia="仿宋_GB2312"/>
                      <w:sz w:val="20"/>
                      <w:color w:val="000000"/>
                    </w:rPr>
                    <w:t>系统提供数据文档的归档、备份、恢复功能。</w:t>
                  </w:r>
                </w:p>
                <w:p>
                  <w:pPr>
                    <w:pStyle w:val="null3"/>
                    <w:ind w:firstLine="400"/>
                    <w:jc w:val="left"/>
                  </w:pPr>
                  <w:r>
                    <w:rPr>
                      <w:rFonts w:ascii="仿宋_GB2312" w:hAnsi="仿宋_GB2312" w:cs="仿宋_GB2312" w:eastAsia="仿宋_GB2312"/>
                      <w:sz w:val="20"/>
                      <w:color w:val="000000"/>
                    </w:rPr>
                    <w:t>系统提供日志审计功能，应自动记录用户登录、操作日志审计和分析应用访问情况功能。</w:t>
                  </w:r>
                </w:p>
                <w:p>
                  <w:pPr>
                    <w:pStyle w:val="null3"/>
                    <w:ind w:firstLine="400"/>
                    <w:jc w:val="left"/>
                  </w:pPr>
                  <w:r>
                    <w:rPr>
                      <w:rFonts w:ascii="仿宋_GB2312" w:hAnsi="仿宋_GB2312" w:cs="仿宋_GB2312" w:eastAsia="仿宋_GB2312"/>
                      <w:sz w:val="20"/>
                      <w:color w:val="000000"/>
                    </w:rPr>
                    <w:t>系统具有在线用户监测，分单位和部门的使用情况统计功能。</w:t>
                  </w:r>
                </w:p>
              </w:tc>
            </w:tr>
          </w:tbl>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3</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项目建设原则</w:t>
            </w:r>
          </w:p>
          <w:p>
            <w:pPr>
              <w:pStyle w:val="null3"/>
              <w:ind w:firstLine="400"/>
              <w:jc w:val="both"/>
            </w:pPr>
            <w:r>
              <w:rPr>
                <w:rFonts w:ascii="仿宋_GB2312" w:hAnsi="仿宋_GB2312" w:cs="仿宋_GB2312" w:eastAsia="仿宋_GB2312"/>
                <w:sz w:val="20"/>
                <w:color w:val="000000"/>
              </w:rPr>
              <w:t>3.1统一标准：系统运行维护服务应严格遵循电子政务建设工程相关标准规范，按照统一软件本地化建设要求及持续平稳、高效的运行要求，优化、完善办公自动化系统。</w:t>
            </w:r>
          </w:p>
          <w:p>
            <w:pPr>
              <w:pStyle w:val="null3"/>
              <w:ind w:firstLine="400"/>
              <w:jc w:val="both"/>
            </w:pPr>
            <w:r>
              <w:rPr>
                <w:rFonts w:ascii="仿宋_GB2312" w:hAnsi="仿宋_GB2312" w:cs="仿宋_GB2312" w:eastAsia="仿宋_GB2312"/>
                <w:sz w:val="20"/>
                <w:color w:val="000000"/>
              </w:rPr>
              <w:t>3.2安全可靠：办公自动化系统对整体安全性有非常高的要求，运行维护工作必须遵循并优化现有的安全体系，必须在现有安全体制下提出确保系统安全可靠的安全策略、措施和步骤。</w:t>
            </w:r>
          </w:p>
          <w:p>
            <w:pPr>
              <w:pStyle w:val="null3"/>
              <w:ind w:firstLine="400"/>
              <w:jc w:val="both"/>
            </w:pPr>
            <w:r>
              <w:rPr>
                <w:rFonts w:ascii="仿宋_GB2312" w:hAnsi="仿宋_GB2312" w:cs="仿宋_GB2312" w:eastAsia="仿宋_GB2312"/>
                <w:sz w:val="20"/>
                <w:color w:val="000000"/>
              </w:rPr>
              <w:t>3.3不间断运行：办公自动化系统为陕西省人社厅日常公文处理任务，要确保系统不间断运行。</w:t>
            </w:r>
          </w:p>
          <w:p>
            <w:pPr>
              <w:pStyle w:val="null3"/>
              <w:ind w:firstLine="400"/>
              <w:jc w:val="both"/>
            </w:pPr>
            <w:r>
              <w:rPr>
                <w:rFonts w:ascii="仿宋_GB2312" w:hAnsi="仿宋_GB2312" w:cs="仿宋_GB2312" w:eastAsia="仿宋_GB2312"/>
                <w:sz w:val="20"/>
                <w:color w:val="000000"/>
              </w:rPr>
              <w:t>3.4经济实用：项目服务要求在实用的基础上符合经济原则，以最小的投入获得最大的效益。满足采购人发起的业务需求，保证业务功能的平稳延续，并增强服务功能。同时充分考虑到今后业务的发展，保护现有投资。</w:t>
            </w:r>
          </w:p>
          <w:p>
            <w:pPr>
              <w:pStyle w:val="null3"/>
              <w:ind w:firstLine="400"/>
              <w:jc w:val="both"/>
            </w:pPr>
            <w:r>
              <w:rPr>
                <w:rFonts w:ascii="仿宋_GB2312" w:hAnsi="仿宋_GB2312" w:cs="仿宋_GB2312" w:eastAsia="仿宋_GB2312"/>
                <w:sz w:val="20"/>
                <w:color w:val="000000"/>
              </w:rPr>
              <w:t>3.5可管理性：项目应建立完善的运行维护管理体系，提供强大的运行维护管理工具与手段，确保系统运行可靠、稳定。</w:t>
            </w:r>
          </w:p>
          <w:p>
            <w:pPr>
              <w:pStyle w:val="null3"/>
              <w:ind w:firstLine="118"/>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4</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维护服务内容</w:t>
            </w:r>
          </w:p>
          <w:p>
            <w:pPr>
              <w:pStyle w:val="null3"/>
              <w:ind w:firstLine="400"/>
              <w:jc w:val="both"/>
            </w:pPr>
            <w:r>
              <w:rPr>
                <w:rFonts w:ascii="仿宋_GB2312" w:hAnsi="仿宋_GB2312" w:cs="仿宋_GB2312" w:eastAsia="仿宋_GB2312"/>
                <w:sz w:val="20"/>
                <w:color w:val="000000"/>
              </w:rPr>
              <w:t>4.1客服电话支持：由乙方人员向甲方提供热线电话技术服务解答软件的使用维护问题。</w:t>
            </w:r>
          </w:p>
          <w:p>
            <w:pPr>
              <w:pStyle w:val="null3"/>
              <w:ind w:firstLine="400"/>
              <w:jc w:val="both"/>
            </w:pPr>
            <w:r>
              <w:rPr>
                <w:rFonts w:ascii="仿宋_GB2312" w:hAnsi="仿宋_GB2312" w:cs="仿宋_GB2312" w:eastAsia="仿宋_GB2312"/>
                <w:sz w:val="20"/>
                <w:color w:val="000000"/>
              </w:rPr>
              <w:t>4.2在线远程登陆维护：用QQ或其他远程控制系统对甲方规定软件进行维护调试。</w:t>
            </w:r>
          </w:p>
          <w:p>
            <w:pPr>
              <w:pStyle w:val="null3"/>
              <w:ind w:firstLine="400"/>
              <w:jc w:val="both"/>
            </w:pPr>
            <w:r>
              <w:rPr>
                <w:rFonts w:ascii="仿宋_GB2312" w:hAnsi="仿宋_GB2312" w:cs="仿宋_GB2312" w:eastAsia="仿宋_GB2312"/>
                <w:sz w:val="20"/>
                <w:color w:val="000000"/>
              </w:rPr>
              <w:t>4.3邮件服务：乙方向甲方提供技术服务电子邮件地址，乙方在接收到甲方服务支持请求邮件后在正常工作日8小时内处理。</w:t>
            </w:r>
          </w:p>
          <w:p>
            <w:pPr>
              <w:pStyle w:val="null3"/>
              <w:ind w:firstLine="400"/>
              <w:jc w:val="both"/>
            </w:pPr>
            <w:r>
              <w:rPr>
                <w:rFonts w:ascii="仿宋_GB2312" w:hAnsi="仿宋_GB2312" w:cs="仿宋_GB2312" w:eastAsia="仿宋_GB2312"/>
                <w:sz w:val="20"/>
                <w:color w:val="000000"/>
              </w:rPr>
              <w:t>4.4客户需求和建议支持：甲方可以向乙方提供自己的需求和系统的改进建议，由乙方客服人员接纳，提供到技术部进行评估，根据具体情况而定（无限）。</w:t>
            </w:r>
          </w:p>
          <w:p>
            <w:pPr>
              <w:pStyle w:val="null3"/>
              <w:ind w:firstLine="400"/>
              <w:jc w:val="both"/>
            </w:pPr>
            <w:r>
              <w:rPr>
                <w:rFonts w:ascii="仿宋_GB2312" w:hAnsi="仿宋_GB2312" w:cs="仿宋_GB2312" w:eastAsia="仿宋_GB2312"/>
                <w:sz w:val="20"/>
                <w:color w:val="000000"/>
              </w:rPr>
              <w:t>4.5上门回访服务：乙方工作人员会上门拜访采购人，以了解甲方使用情况，提供更好的建议（1次/月）。</w:t>
            </w:r>
          </w:p>
          <w:p>
            <w:pPr>
              <w:pStyle w:val="null3"/>
              <w:ind w:firstLine="400"/>
              <w:jc w:val="both"/>
            </w:pPr>
            <w:r>
              <w:rPr>
                <w:rFonts w:ascii="仿宋_GB2312" w:hAnsi="仿宋_GB2312" w:cs="仿宋_GB2312" w:eastAsia="仿宋_GB2312"/>
                <w:sz w:val="20"/>
                <w:color w:val="000000"/>
              </w:rPr>
              <w:t>4.6系统重装和恢复支持：由乙方技术人员通过远程辅助甲方进行系统重新和恢复支持（3次/年）。</w:t>
            </w:r>
          </w:p>
          <w:p>
            <w:pPr>
              <w:pStyle w:val="null3"/>
              <w:ind w:firstLine="400"/>
              <w:jc w:val="both"/>
            </w:pPr>
            <w:r>
              <w:rPr>
                <w:rFonts w:ascii="仿宋_GB2312" w:hAnsi="仿宋_GB2312" w:cs="仿宋_GB2312" w:eastAsia="仿宋_GB2312"/>
                <w:sz w:val="20"/>
                <w:color w:val="000000"/>
              </w:rPr>
              <w:t>4.7技术支持服务：甲方在系统使用过程中出现的例如查询表结构、查询某数据、调整系统内的一些数据，甲方发需要的一些其他协助等非开发式的请求，可由乙方客服人员协调技术人员完成。</w:t>
            </w:r>
          </w:p>
          <w:p>
            <w:pPr>
              <w:pStyle w:val="null3"/>
              <w:ind w:firstLine="400"/>
              <w:jc w:val="both"/>
            </w:pPr>
            <w:r>
              <w:rPr>
                <w:rFonts w:ascii="仿宋_GB2312" w:hAnsi="仿宋_GB2312" w:cs="仿宋_GB2312" w:eastAsia="仿宋_GB2312"/>
                <w:sz w:val="20"/>
                <w:color w:val="000000"/>
              </w:rPr>
              <w:t>4.8现场服务支持：甲方系统使用过程中无法正常使用或其他原因引起的导致系统无法运行问题乙方提供现场支持。</w:t>
            </w:r>
          </w:p>
          <w:p>
            <w:pPr>
              <w:pStyle w:val="null3"/>
              <w:ind w:firstLine="118"/>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5</w:t>
            </w:r>
            <w:r>
              <w:rPr>
                <w:rFonts w:ascii="仿宋_GB2312" w:hAnsi="仿宋_GB2312" w:cs="仿宋_GB2312" w:eastAsia="仿宋_GB2312"/>
                <w:sz w:val="20"/>
                <w:b/>
                <w:color w:val="000000"/>
              </w:rPr>
              <w:t>）</w:t>
            </w:r>
            <w:r>
              <w:rPr>
                <w:rFonts w:ascii="仿宋_GB2312" w:hAnsi="仿宋_GB2312" w:cs="仿宋_GB2312" w:eastAsia="仿宋_GB2312"/>
                <w:sz w:val="20"/>
                <w:b/>
              </w:rPr>
              <w:t>服务方式</w:t>
            </w:r>
          </w:p>
          <w:p>
            <w:pPr>
              <w:pStyle w:val="null3"/>
              <w:ind w:firstLine="400"/>
              <w:jc w:val="both"/>
            </w:pPr>
            <w:r>
              <w:rPr>
                <w:rFonts w:ascii="仿宋_GB2312" w:hAnsi="仿宋_GB2312" w:cs="仿宋_GB2312" w:eastAsia="仿宋_GB2312"/>
                <w:sz w:val="20"/>
                <w:color w:val="000000"/>
              </w:rPr>
              <w:t>5.1系统无法运行等重大问题服务商应在2小时内响应，8小时内处理完毕。</w:t>
            </w:r>
          </w:p>
          <w:p>
            <w:pPr>
              <w:pStyle w:val="null3"/>
              <w:ind w:firstLine="400"/>
              <w:jc w:val="both"/>
            </w:pPr>
            <w:r>
              <w:rPr>
                <w:rFonts w:ascii="仿宋_GB2312" w:hAnsi="仿宋_GB2312" w:cs="仿宋_GB2312" w:eastAsia="仿宋_GB2312"/>
                <w:sz w:val="20"/>
                <w:color w:val="000000"/>
              </w:rPr>
              <w:t>5.2乙方每月提交工作月报，内容包括本月工作主要内容及重要事项，每个工作人员工作任务及完成情况，下月工作安排及需要甲方单位配合的工作要求。</w:t>
            </w:r>
          </w:p>
          <w:p>
            <w:pPr>
              <w:pStyle w:val="null3"/>
              <w:ind w:firstLine="400"/>
              <w:jc w:val="both"/>
            </w:pPr>
            <w:r>
              <w:rPr>
                <w:rFonts w:ascii="仿宋_GB2312" w:hAnsi="仿宋_GB2312" w:cs="仿宋_GB2312" w:eastAsia="仿宋_GB2312"/>
                <w:sz w:val="20"/>
                <w:color w:val="000000"/>
              </w:rPr>
              <w:t>5.3建立运维手册，每月末需将本月用户提交的运行维护需求、电话咨询记录、数据修改工作任务单等装订成册并提交。</w:t>
            </w:r>
          </w:p>
          <w:p>
            <w:pPr>
              <w:pStyle w:val="null3"/>
              <w:ind w:firstLine="400"/>
              <w:jc w:val="both"/>
            </w:pPr>
            <w:r>
              <w:rPr>
                <w:rFonts w:ascii="仿宋_GB2312" w:hAnsi="仿宋_GB2312" w:cs="仿宋_GB2312" w:eastAsia="仿宋_GB2312"/>
                <w:sz w:val="20"/>
                <w:color w:val="000000"/>
              </w:rPr>
              <w:t>5.4系统真正可用并且完全运行的时间所占的百分比大于99.5%。甲方要求的停机，或由于第三方原因造成的停机时间除外。</w:t>
            </w:r>
          </w:p>
          <w:p>
            <w:pPr>
              <w:pStyle w:val="null3"/>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6</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维护服务人员</w:t>
            </w:r>
          </w:p>
          <w:p>
            <w:pPr>
              <w:pStyle w:val="null3"/>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1名客服人员、2名技术支撑</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7</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服务回访</w:t>
            </w:r>
          </w:p>
          <w:p>
            <w:pPr>
              <w:pStyle w:val="null3"/>
              <w:ind w:firstLine="400"/>
              <w:jc w:val="left"/>
            </w:pPr>
            <w:r>
              <w:rPr>
                <w:rFonts w:ascii="仿宋_GB2312" w:hAnsi="仿宋_GB2312" w:cs="仿宋_GB2312" w:eastAsia="仿宋_GB2312"/>
                <w:sz w:val="20"/>
                <w:color w:val="000000"/>
                <w:shd w:fill="FFFFFF" w:val="clear"/>
              </w:rPr>
              <w:t>运维人员要对用户提出的问题和已解决的问题在三天内进行跟踪回访，关注问题解决的进程和问题解决后用户的使用效果，对未解决的问题进行重复跟踪直至问题得到解决。</w:t>
            </w:r>
          </w:p>
          <w:p>
            <w:pPr>
              <w:pStyle w:val="null3"/>
              <w:ind w:firstLine="400"/>
              <w:jc w:val="both"/>
            </w:pPr>
            <w:r>
              <w:rPr>
                <w:rFonts w:ascii="仿宋_GB2312" w:hAnsi="仿宋_GB2312" w:cs="仿宋_GB2312" w:eastAsia="仿宋_GB2312"/>
                <w:sz w:val="20"/>
                <w:color w:val="000000"/>
              </w:rPr>
              <w:t>运维人员每月至少两次对主要的业务经办机构进行主动电话回访,了解整个系统的运行情况，并给予指导。运维项目经理每月至少一次对主要的业务经办机构进行实地回访,在业务经办机构现场了解整个系统的运行情况。</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8</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维护服务文档</w:t>
            </w:r>
          </w:p>
          <w:p>
            <w:pPr>
              <w:pStyle w:val="null3"/>
              <w:ind w:firstLine="480"/>
            </w:pPr>
            <w:r>
              <w:rPr>
                <w:rFonts w:ascii="仿宋_GB2312" w:hAnsi="仿宋_GB2312" w:cs="仿宋_GB2312" w:eastAsia="仿宋_GB2312"/>
                <w:sz w:val="20"/>
                <w:color w:val="000000"/>
              </w:rPr>
              <w:t>电话服务支持记录以及现场服务记录每月进行汇总，每月形成月报，分类汇总产生的问题解决情况表和遗留问题表。每个季度将其单位的问题进行汇总编并制成维护知识文档和总结报告，并交给客户存档。</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9</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建立考核机制</w:t>
            </w:r>
          </w:p>
          <w:p>
            <w:pPr>
              <w:pStyle w:val="null3"/>
              <w:ind w:firstLine="480"/>
            </w:pPr>
            <w:r>
              <w:rPr>
                <w:rFonts w:ascii="仿宋_GB2312" w:hAnsi="仿宋_GB2312" w:cs="仿宋_GB2312" w:eastAsia="仿宋_GB2312"/>
                <w:sz w:val="20"/>
                <w:color w:val="000000"/>
              </w:rPr>
              <w:t>乙方对服务人员建立考核机制，对用户满意度、服务投诉、故障处理、文档规范等指标进行量化考核。</w:t>
            </w:r>
          </w:p>
          <w:p>
            <w:pPr>
              <w:pStyle w:val="null3"/>
              <w:ind w:firstLine="480"/>
            </w:pPr>
            <w:r>
              <w:rPr>
                <w:rFonts w:ascii="仿宋_GB2312" w:hAnsi="仿宋_GB2312" w:cs="仿宋_GB2312" w:eastAsia="仿宋_GB2312"/>
                <w:sz w:val="20"/>
                <w:color w:val="000000"/>
              </w:rPr>
              <w:t>用户将到反映问题较多、满意度较低的业务经办机构进行现场调研，调查运维服务单位的服务情况，并将结果向运维服务单位反映。</w:t>
            </w:r>
          </w:p>
          <w:p>
            <w:pPr>
              <w:pStyle w:val="null3"/>
              <w:jc w:val="both"/>
            </w:pPr>
            <w:r>
              <w:rPr>
                <w:rFonts w:ascii="仿宋_GB2312" w:hAnsi="仿宋_GB2312" w:cs="仿宋_GB2312" w:eastAsia="仿宋_GB2312"/>
                <w:sz w:val="20"/>
                <w:b/>
                <w:color w:val="000000"/>
              </w:rPr>
              <w:t>4、窗口单位实体大厅视频接入系统</w:t>
            </w:r>
          </w:p>
          <w:p>
            <w:pPr>
              <w:pStyle w:val="null3"/>
              <w:jc w:val="both"/>
            </w:pPr>
            <w:r>
              <w:rPr>
                <w:rFonts w:ascii="仿宋_GB2312" w:hAnsi="仿宋_GB2312" w:cs="仿宋_GB2312" w:eastAsia="仿宋_GB2312"/>
                <w:sz w:val="20"/>
                <w:b/>
                <w:color w:val="000000"/>
              </w:rPr>
              <w:t>（1）</w:t>
            </w:r>
            <w:r>
              <w:rPr>
                <w:rFonts w:ascii="仿宋_GB2312" w:hAnsi="仿宋_GB2312" w:cs="仿宋_GB2312" w:eastAsia="仿宋_GB2312"/>
                <w:sz w:val="20"/>
                <w:b/>
                <w:color w:val="000000"/>
              </w:rPr>
              <w:t>视频接入系统维护</w:t>
            </w:r>
          </w:p>
          <w:tbl>
            <w:tblPr>
              <w:tblBorders>
                <w:top w:val="none" w:color="000000" w:sz="4"/>
                <w:left w:val="none" w:color="000000" w:sz="4"/>
                <w:bottom w:val="none" w:color="000000" w:sz="4"/>
                <w:right w:val="none" w:color="000000" w:sz="4"/>
                <w:insideH w:val="none"/>
                <w:insideV w:val="none"/>
              </w:tblBorders>
            </w:tblPr>
            <w:tblGrid>
              <w:gridCol w:w="215"/>
              <w:gridCol w:w="145"/>
              <w:gridCol w:w="407"/>
              <w:gridCol w:w="407"/>
              <w:gridCol w:w="1379"/>
            </w:tblGrid>
            <w:tr>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959"/>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服务（货物）内容</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要求</w:t>
                  </w:r>
                </w:p>
              </w:tc>
            </w:tr>
            <w:tr>
              <w:tc>
                <w:tcPr>
                  <w:tcW w:type="dxa" w:w="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软件系统</w:t>
                  </w:r>
                </w:p>
              </w:tc>
              <w:tc>
                <w:tcPr>
                  <w:tcW w:type="dxa" w:w="8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操作系统维护</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安全策略查看；</w:t>
                  </w:r>
                </w:p>
                <w:p>
                  <w:pPr>
                    <w:pStyle w:val="null3"/>
                  </w:pPr>
                  <w:r>
                    <w:rPr>
                      <w:rFonts w:ascii="仿宋_GB2312" w:hAnsi="仿宋_GB2312" w:cs="仿宋_GB2312" w:eastAsia="仿宋_GB2312"/>
                      <w:sz w:val="20"/>
                    </w:rPr>
                    <w:t>操作日志审计；</w:t>
                  </w:r>
                </w:p>
                <w:p>
                  <w:pPr>
                    <w:pStyle w:val="null3"/>
                  </w:pPr>
                  <w:r>
                    <w:rPr>
                      <w:rFonts w:ascii="仿宋_GB2312" w:hAnsi="仿宋_GB2312" w:cs="仿宋_GB2312" w:eastAsia="仿宋_GB2312"/>
                      <w:sz w:val="20"/>
                    </w:rPr>
                    <w:t>磁盘容量检查；</w:t>
                  </w:r>
                </w:p>
                <w:p>
                  <w:pPr>
                    <w:pStyle w:val="null3"/>
                    <w:jc w:val="left"/>
                  </w:pPr>
                  <w:r>
                    <w:rPr>
                      <w:rFonts w:ascii="仿宋_GB2312" w:hAnsi="仿宋_GB2312" w:cs="仿宋_GB2312" w:eastAsia="仿宋_GB2312"/>
                      <w:sz w:val="20"/>
                    </w:rPr>
                    <w:t>日志查看。</w:t>
                  </w:r>
                </w:p>
              </w:tc>
            </w:tr>
            <w:tr>
              <w:tc>
                <w:tcPr>
                  <w:tcW w:type="dxa" w:w="215"/>
                  <w:vMerge/>
                  <w:tcBorders>
                    <w:top w:val="none" w:color="000000" w:sz="4"/>
                    <w:left w:val="single" w:color="000000" w:sz="4"/>
                    <w:bottom w:val="single" w:color="000000" w:sz="4"/>
                    <w:right w:val="single" w:color="000000" w:sz="4"/>
                  </w:tcBorders>
                </w:tcPr>
                <w:p/>
              </w:tc>
              <w:tc>
                <w:tcPr>
                  <w:tcW w:type="dxa" w:w="145"/>
                  <w:vMerge/>
                  <w:tcBorders>
                    <w:top w:val="none" w:color="000000" w:sz="4"/>
                    <w:left w:val="none" w:color="000000" w:sz="4"/>
                    <w:bottom w:val="single" w:color="000000" w:sz="4"/>
                    <w:right w:val="single" w:color="000000" w:sz="4"/>
                  </w:tcBorders>
                </w:tcPr>
                <w:p/>
              </w:tc>
              <w:tc>
                <w:tcPr>
                  <w:tcW w:type="dxa" w:w="8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防病毒等支撑软件维护</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日志检查；</w:t>
                  </w:r>
                </w:p>
                <w:p>
                  <w:pPr>
                    <w:pStyle w:val="null3"/>
                  </w:pPr>
                  <w:r>
                    <w:rPr>
                      <w:rFonts w:ascii="仿宋_GB2312" w:hAnsi="仿宋_GB2312" w:cs="仿宋_GB2312" w:eastAsia="仿宋_GB2312"/>
                      <w:sz w:val="20"/>
                    </w:rPr>
                    <w:t>病毒库的更新；</w:t>
                  </w:r>
                </w:p>
                <w:p>
                  <w:pPr>
                    <w:pStyle w:val="null3"/>
                  </w:pPr>
                  <w:r>
                    <w:rPr>
                      <w:rFonts w:ascii="仿宋_GB2312" w:hAnsi="仿宋_GB2312" w:cs="仿宋_GB2312" w:eastAsia="仿宋_GB2312"/>
                      <w:sz w:val="20"/>
                    </w:rPr>
                    <w:t>安全策略；</w:t>
                  </w:r>
                </w:p>
                <w:p>
                  <w:pPr>
                    <w:pStyle w:val="null3"/>
                  </w:pPr>
                  <w:r>
                    <w:rPr>
                      <w:rFonts w:ascii="仿宋_GB2312" w:hAnsi="仿宋_GB2312" w:cs="仿宋_GB2312" w:eastAsia="仿宋_GB2312"/>
                      <w:sz w:val="20"/>
                    </w:rPr>
                    <w:t>运行状态；</w:t>
                  </w:r>
                </w:p>
              </w:tc>
            </w:tr>
            <w:tr>
              <w:tc>
                <w:tcPr>
                  <w:tcW w:type="dxa" w:w="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硬件系统维护</w:t>
                  </w:r>
                </w:p>
              </w:tc>
              <w:tc>
                <w:tcPr>
                  <w:tcW w:type="dxa" w:w="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主机系统维护</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视频服务器</w:t>
                  </w:r>
                </w:p>
              </w:tc>
              <w:tc>
                <w:tcPr>
                  <w:tcW w:type="dxa" w:w="137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异常报警检查；</w:t>
                  </w:r>
                </w:p>
                <w:p>
                  <w:pPr>
                    <w:pStyle w:val="null3"/>
                    <w:jc w:val="both"/>
                  </w:pPr>
                  <w:r>
                    <w:rPr>
                      <w:rFonts w:ascii="仿宋_GB2312" w:hAnsi="仿宋_GB2312" w:cs="仿宋_GB2312" w:eastAsia="仿宋_GB2312"/>
                      <w:sz w:val="20"/>
                    </w:rPr>
                    <w:t>主机磁盘与存储设备磁盘容量检查；</w:t>
                  </w:r>
                </w:p>
                <w:p>
                  <w:pPr>
                    <w:pStyle w:val="null3"/>
                    <w:jc w:val="both"/>
                  </w:pPr>
                  <w:r>
                    <w:rPr>
                      <w:rFonts w:ascii="仿宋_GB2312" w:hAnsi="仿宋_GB2312" w:cs="仿宋_GB2312" w:eastAsia="仿宋_GB2312"/>
                      <w:sz w:val="20"/>
                    </w:rPr>
                    <w:t>电源检查；</w:t>
                  </w:r>
                </w:p>
                <w:p>
                  <w:pPr>
                    <w:pStyle w:val="null3"/>
                    <w:jc w:val="both"/>
                  </w:pPr>
                  <w:r>
                    <w:rPr>
                      <w:rFonts w:ascii="仿宋_GB2312" w:hAnsi="仿宋_GB2312" w:cs="仿宋_GB2312" w:eastAsia="仿宋_GB2312"/>
                      <w:sz w:val="20"/>
                    </w:rPr>
                    <w:t>主机网络检查；</w:t>
                  </w:r>
                </w:p>
                <w:p>
                  <w:pPr>
                    <w:pStyle w:val="null3"/>
                    <w:jc w:val="both"/>
                  </w:pPr>
                  <w:r>
                    <w:rPr>
                      <w:rFonts w:ascii="仿宋_GB2312" w:hAnsi="仿宋_GB2312" w:cs="仿宋_GB2312" w:eastAsia="仿宋_GB2312"/>
                      <w:sz w:val="20"/>
                    </w:rPr>
                    <w:t>相关日志检查，包括操作日志、登录日志等；</w:t>
                  </w:r>
                </w:p>
                <w:p>
                  <w:pPr>
                    <w:pStyle w:val="null3"/>
                    <w:jc w:val="both"/>
                  </w:pPr>
                  <w:r>
                    <w:rPr>
                      <w:rFonts w:ascii="仿宋_GB2312" w:hAnsi="仿宋_GB2312" w:cs="仿宋_GB2312" w:eastAsia="仿宋_GB2312"/>
                      <w:sz w:val="20"/>
                    </w:rPr>
                    <w:t>升级操作系统补丁；</w:t>
                  </w:r>
                </w:p>
                <w:p>
                  <w:pPr>
                    <w:pStyle w:val="null3"/>
                    <w:jc w:val="both"/>
                  </w:pPr>
                  <w:r>
                    <w:rPr>
                      <w:rFonts w:ascii="仿宋_GB2312" w:hAnsi="仿宋_GB2312" w:cs="仿宋_GB2312" w:eastAsia="仿宋_GB2312"/>
                      <w:sz w:val="20"/>
                    </w:rPr>
                    <w:t>检查启动的服务是否异常。</w:t>
                  </w:r>
                </w:p>
              </w:tc>
            </w:tr>
            <w:tr>
              <w:tc>
                <w:tcPr>
                  <w:tcW w:type="dxa" w:w="215"/>
                  <w:vMerge/>
                  <w:tcBorders>
                    <w:top w:val="none" w:color="000000" w:sz="4"/>
                    <w:left w:val="single" w:color="000000" w:sz="4"/>
                    <w:bottom w:val="single" w:color="000000" w:sz="4"/>
                    <w:right w:val="single" w:color="000000" w:sz="4"/>
                  </w:tcBorders>
                </w:tcPr>
                <w:p/>
              </w:tc>
              <w:tc>
                <w:tcPr>
                  <w:tcW w:type="dxa" w:w="145"/>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工作电脑</w:t>
                  </w:r>
                </w:p>
              </w:tc>
              <w:tc>
                <w:tcPr>
                  <w:tcW w:type="dxa" w:w="1379"/>
                  <w:vMerge/>
                  <w:tcBorders>
                    <w:top w:val="single" w:color="000000" w:sz="4"/>
                    <w:left w:val="none" w:color="000000" w:sz="4"/>
                    <w:bottom w:val="single" w:color="000000" w:sz="4"/>
                    <w:right w:val="single" w:color="000000" w:sz="4"/>
                  </w:tcBorders>
                </w:tcPr>
                <w:p/>
              </w:tc>
            </w:tr>
            <w:tr>
              <w:tc>
                <w:tcPr>
                  <w:tcW w:type="dxa" w:w="215"/>
                  <w:vMerge/>
                  <w:tcBorders>
                    <w:top w:val="none" w:color="000000" w:sz="4"/>
                    <w:left w:val="single" w:color="000000" w:sz="4"/>
                    <w:bottom w:val="single" w:color="000000" w:sz="4"/>
                    <w:right w:val="single" w:color="000000" w:sz="4"/>
                  </w:tcBorders>
                </w:tcPr>
                <w:p/>
              </w:tc>
              <w:tc>
                <w:tcPr>
                  <w:tcW w:type="dxa" w:w="145"/>
                  <w:vMerge/>
                  <w:tcBorders>
                    <w:top w:val="none" w:color="000000" w:sz="4"/>
                    <w:left w:val="none" w:color="000000" w:sz="4"/>
                    <w:bottom w:val="single" w:color="000000" w:sz="4"/>
                    <w:right w:val="single" w:color="000000" w:sz="4"/>
                  </w:tcBorders>
                </w:tcPr>
                <w:p/>
              </w:tc>
              <w:tc>
                <w:tcPr>
                  <w:tcW w:type="dxa" w:w="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网络与终端设备维护</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NVR</w:t>
                  </w:r>
                </w:p>
              </w:tc>
              <w:tc>
                <w:tcPr>
                  <w:tcW w:type="dxa" w:w="1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异常报警检查；</w:t>
                  </w:r>
                </w:p>
                <w:p>
                  <w:pPr>
                    <w:pStyle w:val="null3"/>
                    <w:jc w:val="both"/>
                  </w:pPr>
                  <w:r>
                    <w:rPr>
                      <w:rFonts w:ascii="仿宋_GB2312" w:hAnsi="仿宋_GB2312" w:cs="仿宋_GB2312" w:eastAsia="仿宋_GB2312"/>
                      <w:sz w:val="20"/>
                    </w:rPr>
                    <w:t>电源检查；</w:t>
                  </w:r>
                </w:p>
                <w:p>
                  <w:pPr>
                    <w:pStyle w:val="null3"/>
                    <w:jc w:val="both"/>
                  </w:pPr>
                  <w:r>
                    <w:rPr>
                      <w:rFonts w:ascii="仿宋_GB2312" w:hAnsi="仿宋_GB2312" w:cs="仿宋_GB2312" w:eastAsia="仿宋_GB2312"/>
                      <w:sz w:val="20"/>
                    </w:rPr>
                    <w:t>日志检查；</w:t>
                  </w:r>
                </w:p>
                <w:p>
                  <w:pPr>
                    <w:pStyle w:val="null3"/>
                    <w:jc w:val="both"/>
                  </w:pPr>
                  <w:r>
                    <w:rPr>
                      <w:rFonts w:ascii="仿宋_GB2312" w:hAnsi="仿宋_GB2312" w:cs="仿宋_GB2312" w:eastAsia="仿宋_GB2312"/>
                      <w:sz w:val="20"/>
                    </w:rPr>
                    <w:t>连接线路检查。</w:t>
                  </w:r>
                </w:p>
              </w:tc>
            </w:tr>
            <w:tr>
              <w:tc>
                <w:tcPr>
                  <w:tcW w:type="dxa" w:w="215"/>
                  <w:vMerge/>
                  <w:tcBorders>
                    <w:top w:val="none" w:color="000000" w:sz="4"/>
                    <w:left w:val="single" w:color="000000" w:sz="4"/>
                    <w:bottom w:val="single" w:color="000000" w:sz="4"/>
                    <w:right w:val="single" w:color="000000" w:sz="4"/>
                  </w:tcBorders>
                </w:tcPr>
                <w:p/>
              </w:tc>
              <w:tc>
                <w:tcPr>
                  <w:tcW w:type="dxa" w:w="145"/>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摄像头</w:t>
                  </w:r>
                </w:p>
              </w:tc>
              <w:tc>
                <w:tcPr>
                  <w:tcW w:type="dxa" w:w="1379"/>
                  <w:vMerge/>
                  <w:tcBorders>
                    <w:top w:val="none" w:color="000000" w:sz="4"/>
                    <w:left w:val="none" w:color="000000" w:sz="4"/>
                    <w:bottom w:val="single" w:color="000000" w:sz="4"/>
                    <w:right w:val="single" w:color="000000" w:sz="4"/>
                  </w:tcBorders>
                </w:tcPr>
                <w:p/>
              </w:tc>
            </w:tr>
            <w:tr>
              <w:tc>
                <w:tcPr>
                  <w:tcW w:type="dxa" w:w="215"/>
                  <w:vMerge/>
                  <w:tcBorders>
                    <w:top w:val="none" w:color="000000" w:sz="4"/>
                    <w:left w:val="single" w:color="000000" w:sz="4"/>
                    <w:bottom w:val="single" w:color="000000" w:sz="4"/>
                    <w:right w:val="single" w:color="000000" w:sz="4"/>
                  </w:tcBorders>
                </w:tcPr>
                <w:p/>
              </w:tc>
              <w:tc>
                <w:tcPr>
                  <w:tcW w:type="dxa" w:w="145"/>
                  <w:vMerge/>
                  <w:tcBorders>
                    <w:top w:val="none" w:color="000000" w:sz="4"/>
                    <w:left w:val="non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POE交换机</w:t>
                  </w:r>
                </w:p>
              </w:tc>
              <w:tc>
                <w:tcPr>
                  <w:tcW w:type="dxa" w:w="1379"/>
                  <w:vMerge/>
                  <w:tcBorders>
                    <w:top w:val="none" w:color="000000" w:sz="4"/>
                    <w:left w:val="none" w:color="000000" w:sz="4"/>
                    <w:bottom w:val="single" w:color="000000" w:sz="4"/>
                    <w:right w:val="single" w:color="000000" w:sz="4"/>
                  </w:tcBorders>
                </w:tcPr>
                <w:p/>
              </w:tc>
            </w:tr>
            <w:tr>
              <w:tc>
                <w:tcPr>
                  <w:tcW w:type="dxa" w:w="215"/>
                  <w:vMerge/>
                  <w:tcBorders>
                    <w:top w:val="none" w:color="000000" w:sz="4"/>
                    <w:left w:val="single" w:color="000000" w:sz="4"/>
                    <w:bottom w:val="single" w:color="000000" w:sz="4"/>
                    <w:right w:val="single" w:color="000000" w:sz="4"/>
                  </w:tcBorders>
                </w:tcPr>
                <w:p/>
              </w:tc>
              <w:tc>
                <w:tcPr>
                  <w:tcW w:type="dxa" w:w="145"/>
                  <w:vMerge/>
                  <w:tcBorders>
                    <w:top w:val="none" w:color="000000" w:sz="4"/>
                    <w:left w:val="none" w:color="000000" w:sz="4"/>
                    <w:bottom w:val="single" w:color="000000" w:sz="4"/>
                    <w:right w:val="single" w:color="000000" w:sz="4"/>
                  </w:tcBorders>
                </w:tcPr>
                <w:p/>
              </w:tc>
              <w:tc>
                <w:tcPr>
                  <w:tcW w:type="dxa" w:w="8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场地维护</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场地运行状态；</w:t>
                  </w:r>
                </w:p>
                <w:p>
                  <w:pPr>
                    <w:pStyle w:val="null3"/>
                    <w:jc w:val="both"/>
                  </w:pPr>
                  <w:r>
                    <w:rPr>
                      <w:rFonts w:ascii="仿宋_GB2312" w:hAnsi="仿宋_GB2312" w:cs="仿宋_GB2312" w:eastAsia="仿宋_GB2312"/>
                      <w:sz w:val="20"/>
                    </w:rPr>
                    <w:t>设备运行状态；</w:t>
                  </w:r>
                </w:p>
                <w:p>
                  <w:pPr>
                    <w:pStyle w:val="null3"/>
                    <w:jc w:val="both"/>
                  </w:pPr>
                  <w:r>
                    <w:rPr>
                      <w:rFonts w:ascii="仿宋_GB2312" w:hAnsi="仿宋_GB2312" w:cs="仿宋_GB2312" w:eastAsia="仿宋_GB2312"/>
                      <w:sz w:val="20"/>
                    </w:rPr>
                    <w:t>连接线路情况检查。</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95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现场/远程故障处理服务</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提供单点故障（含系统故障）响应；</w:t>
                  </w:r>
                </w:p>
                <w:p>
                  <w:pPr>
                    <w:pStyle w:val="null3"/>
                    <w:jc w:val="both"/>
                  </w:pPr>
                  <w:r>
                    <w:rPr>
                      <w:rFonts w:ascii="仿宋_GB2312" w:hAnsi="仿宋_GB2312" w:cs="仿宋_GB2312" w:eastAsia="仿宋_GB2312"/>
                      <w:sz w:val="20"/>
                      <w:color w:val="000000"/>
                    </w:rPr>
                    <w:t>提供日常故障处理服务。</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95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报告管理服务</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提供维护报告</w:t>
                  </w:r>
                </w:p>
                <w:p>
                  <w:pPr>
                    <w:pStyle w:val="null3"/>
                    <w:jc w:val="both"/>
                  </w:pPr>
                  <w:r>
                    <w:rPr>
                      <w:rFonts w:ascii="仿宋_GB2312" w:hAnsi="仿宋_GB2312" w:cs="仿宋_GB2312" w:eastAsia="仿宋_GB2312"/>
                      <w:sz w:val="20"/>
                    </w:rPr>
                    <w:t>提供检查报告</w:t>
                  </w:r>
                </w:p>
                <w:p>
                  <w:pPr>
                    <w:pStyle w:val="null3"/>
                    <w:jc w:val="both"/>
                  </w:pPr>
                  <w:r>
                    <w:rPr>
                      <w:rFonts w:ascii="仿宋_GB2312" w:hAnsi="仿宋_GB2312" w:cs="仿宋_GB2312" w:eastAsia="仿宋_GB2312"/>
                      <w:sz w:val="20"/>
                    </w:rPr>
                    <w:t>提供故障处理报告</w:t>
                  </w:r>
                </w:p>
                <w:p>
                  <w:pPr>
                    <w:pStyle w:val="null3"/>
                    <w:jc w:val="both"/>
                  </w:pPr>
                  <w:r>
                    <w:rPr>
                      <w:rFonts w:ascii="仿宋_GB2312" w:hAnsi="仿宋_GB2312" w:cs="仿宋_GB2312" w:eastAsia="仿宋_GB2312"/>
                      <w:sz w:val="20"/>
                    </w:rPr>
                    <w:t>提供运维支撑与综合维护分析，涵盖内容：平台的故障管理、问题管理、性能管理、变更管理、运行服务报告管理、设备维保管理等多个方面进行维护分析。</w:t>
                  </w:r>
                </w:p>
              </w:tc>
            </w:tr>
          </w:tbl>
          <w:p>
            <w:pPr>
              <w:pStyle w:val="null3"/>
              <w:jc w:val="both"/>
            </w:pPr>
            <w:r>
              <w:rPr>
                <w:rFonts w:ascii="仿宋_GB2312" w:hAnsi="仿宋_GB2312" w:cs="仿宋_GB2312" w:eastAsia="仿宋_GB2312"/>
                <w:sz w:val="20"/>
                <w:b/>
                <w:color w:val="000000"/>
              </w:rPr>
              <w:t>（2）线路租用</w:t>
            </w:r>
          </w:p>
          <w:tbl>
            <w:tblPr>
              <w:tblBorders>
                <w:top w:val="none" w:color="000000" w:sz="4"/>
                <w:left w:val="none" w:color="000000" w:sz="4"/>
                <w:bottom w:val="none" w:color="000000" w:sz="4"/>
                <w:right w:val="none" w:color="000000" w:sz="4"/>
                <w:insideH w:val="none"/>
                <w:insideV w:val="none"/>
              </w:tblBorders>
            </w:tblPr>
            <w:tblGrid>
              <w:gridCol w:w="345"/>
              <w:gridCol w:w="643"/>
              <w:gridCol w:w="887"/>
              <w:gridCol w:w="235"/>
              <w:gridCol w:w="427"/>
            </w:tblGrid>
            <w:tr>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color w:val="000000"/>
                    </w:rPr>
                    <w:t>序号</w:t>
                  </w:r>
                </w:p>
              </w:tc>
              <w:tc>
                <w:tcPr>
                  <w:tcW w:type="dxa" w:w="6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color w:val="000000"/>
                    </w:rPr>
                    <w:t>产品名称</w:t>
                  </w:r>
                </w:p>
              </w:tc>
              <w:tc>
                <w:tcPr>
                  <w:tcW w:type="dxa" w:w="8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color w:val="000000"/>
                    </w:rPr>
                    <w:t>产品描述</w:t>
                  </w:r>
                </w:p>
              </w:tc>
              <w:tc>
                <w:tcPr>
                  <w:tcW w:type="dxa" w:w="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单位</w:t>
                  </w:r>
                </w:p>
              </w:tc>
              <w:tc>
                <w:tcPr>
                  <w:tcW w:type="dxa" w:w="4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color w:val="000000"/>
                    </w:rPr>
                    <w:t>数量</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color w:val="000000"/>
                    </w:rPr>
                    <w:t>1</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color w:val="000000"/>
                    </w:rPr>
                    <w:t>专线网络</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企业专线网络50M（固定IP）</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条/月</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color w:val="000000"/>
                    </w:rPr>
                    <w:t>2</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color w:val="000000"/>
                    </w:rPr>
                    <w:t>2</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color w:val="000000"/>
                    </w:rPr>
                    <w:t>企业宽带网络</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企业宽带网络500M(动态IP)</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条/月</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color w:val="000000"/>
                    </w:rPr>
                    <w:t>5</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color w:val="000000"/>
                    </w:rPr>
                    <w:t>3</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color w:val="000000"/>
                    </w:rPr>
                    <w:t>企业宽带网络</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企业宽带网络500M(动态IP)</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条/年</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color w:val="000000"/>
                    </w:rPr>
                    <w:t>3</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根据招标文件、投标文件要求及合同约定执行。</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根据招标文件、投标文件要求及合同约定执行。</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根据招标文件、投标文件要求及合同约定执行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系统运行维护14个月，改造系统工期6个月。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14个月。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陕西省人力资源和社会保障厅指定地点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陕西省人力资源和社会保障厅指定地点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根据招标文件、投标文件要求及合同约定执行。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合同签订后，甲方收到乙方开具的增值税发票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运维服务期满后一个月内，甲方收到乙方开具的增值税发票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项目验收合格后一个月内，根据每季度服务质量考评结果，甲方收到乙方开具的增值税发票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合同签订后，甲方收到乙方开具的增值税发票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运维服务期满后一个月内，甲方收到乙方开具的增值税发票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项目验收合格后一个月内，根据每季度服务质量考评结果，甲方收到乙方开具的增值税发票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根据招标文件、投标文件要求及合同约定执行。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1、投标人需要在线提交所有通过电子化交易平台实施的政府采购项目的投标文件，同时，线下提交纸质投标文件正本壹份、副本贰份、电子版壹份（U盘壹份）作为归档资料使用。 2、纸质投标文件正本、副本、电子版，标明投标人名称分开密封递交（投标文件采用双面打印）。 3、线下纸质文件递交截止时间：同在线递交电子投标文件截止时间一致；线下纸质文件递交地点：陕西省西安市经济技术开发区凤城十一路文景商务广场 C座5层30502 号。如需邮寄投标文件，仅接受顺丰速运（联系人：任向梅、联系电话：029-86100880）。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资格证明文件1.docx 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2023年度或2024年度的财务报告（包括“四表一注”，即资产负债表、利润表、现金流量表、所有者权益变动表及其附注，成立时间至提交投标文件截止时间不足一年的可提供成立后任意时段的资产负债表），或提交投标文件递交截止时间前一年内银行出具的资信证明。（以上两种形式的资料提供任何一种即可）</w:t>
            </w:r>
          </w:p>
        </w:tc>
        <w:tc>
          <w:tcPr>
            <w:tcW w:type="dxa" w:w="1661"/>
          </w:tcPr>
          <w:p>
            <w:pPr>
              <w:pStyle w:val="null3"/>
            </w:pPr>
            <w:r>
              <w:rPr>
                <w:rFonts w:ascii="仿宋_GB2312" w:hAnsi="仿宋_GB2312" w:cs="仿宋_GB2312" w:eastAsia="仿宋_GB2312"/>
              </w:rPr>
              <w:t>资格证明文件1.docx 投标函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7月至2025年7月已缴纳至少一个月的依法缴纳税款的相关凭据（时间以税款所属日期为准、税种须包含增值税或企业所得税），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资格证明文件1.docx 投标函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提供2024年7月至2025年7月已缴存的至少一个月的社会保障资金缴存单据或社保机构开具的社会保险参保缴费情况证明，依法不需要缴纳社会保障资金的单位应提供相关证明材料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资格证明文件1.docx 投标函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资格证明文件1.docx 投标函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资格证明文件1.docx 投标函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资格证明文件1.docx 投标函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投标函 资格证明文件2.docx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2023年度或2024年度的财务报告（包括“四表一注”，即资产负债表、利润表、现金流量表、所有者权益变动表及其附注，成立时间至提交投标文件截止时间不足一年的可提供成立后任意时段的资产负债表），或提交投标文件递交截止时间前一年内银行出具的资信证明。（以上两种形式的资料提供任何一种即可）</w:t>
            </w:r>
          </w:p>
        </w:tc>
        <w:tc>
          <w:tcPr>
            <w:tcW w:type="dxa" w:w="1661"/>
          </w:tcPr>
          <w:p>
            <w:pPr>
              <w:pStyle w:val="null3"/>
            </w:pPr>
            <w:r>
              <w:rPr>
                <w:rFonts w:ascii="仿宋_GB2312" w:hAnsi="仿宋_GB2312" w:cs="仿宋_GB2312" w:eastAsia="仿宋_GB2312"/>
              </w:rPr>
              <w:t>投标函 资格证明文件2.docx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7月至2025年7月已缴纳至少一个月的依法缴纳税款的相关凭据（时间以税款所属日期为准、税种须包含增值税或企业所得税），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投标函 资格证明文件2.docx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提供2024年7月至2025年7月已缴存的至少一个月的社会保障资金缴存单据或社保机构开具的社会保险参保缴费情况证明，依法不需要缴纳社会保障资金的单位应提供相关证明材料。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投标函 资格证明文件2.docx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投标函 资格证明文件2.docx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投标函 资格证明文件2.docx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投标函 资格证明文件2.docx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开标一览表 服务内容及服务邀请应答表 资格证明文件1.docx 中小企业声明函 商务应答表 投标人应提交的相关资格证明材料 投标函 保证金交纳凭证（1）.docx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投标文件按招标文件要求签字盖章</w:t>
            </w:r>
          </w:p>
        </w:tc>
        <w:tc>
          <w:tcPr>
            <w:tcW w:type="dxa" w:w="1661"/>
          </w:tcPr>
          <w:p>
            <w:pPr>
              <w:pStyle w:val="null3"/>
            </w:pPr>
            <w:r>
              <w:rPr>
                <w:rFonts w:ascii="仿宋_GB2312" w:hAnsi="仿宋_GB2312" w:cs="仿宋_GB2312" w:eastAsia="仿宋_GB2312"/>
              </w:rPr>
              <w:t>开标一览表 服务内容及服务邀请应答表 资格证明文件1.docx 中小企业声明函 商务应答表 投标人应提交的相关资格证明材料 投标函 保证金交纳凭证（1）.docx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开标一览表 服务内容及服务邀请应答表 资格证明文件1.docx 中小企业声明函 商务应答表 投标人应提交的相关资格证明材料 投标函 保证金交纳凭证（1）.docx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开标一览表 服务内容及服务邀请应答表 资格证明文件1.docx 中小企业声明函 商务应答表 投标人应提交的相关资格证明材料 投标函 保证金交纳凭证（1）.docx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 服务内容及服务邀请应答表 资格证明文件1.docx 中小企业声明函 商务应答表 投标人应提交的相关资格证明材料 投标函 保证金交纳凭证（1）.docx 残疾人福利性单位声明函 服务方案 标的清单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开标一览表 服务内容及服务邀请应答表 中小企业声明函 商务应答表 投标人应提交的相关资格证明材料 保证金交纳凭证（2）.docx 投标函 残疾人福利性单位声明函 资格证明文件2.docx 服务方案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投标文件按招标文件要求签字盖章</w:t>
            </w:r>
          </w:p>
        </w:tc>
        <w:tc>
          <w:tcPr>
            <w:tcW w:type="dxa" w:w="1661"/>
          </w:tcPr>
          <w:p>
            <w:pPr>
              <w:pStyle w:val="null3"/>
            </w:pPr>
            <w:r>
              <w:rPr>
                <w:rFonts w:ascii="仿宋_GB2312" w:hAnsi="仿宋_GB2312" w:cs="仿宋_GB2312" w:eastAsia="仿宋_GB2312"/>
              </w:rPr>
              <w:t>开标一览表 服务内容及服务邀请应答表 中小企业声明函 商务应答表 投标人应提交的相关资格证明材料 保证金交纳凭证（2）.docx 投标函 残疾人福利性单位声明函 资格证明文件2.docx 服务方案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开标一览表 服务内容及服务邀请应答表 中小企业声明函 商务应答表 投标人应提交的相关资格证明材料 保证金交纳凭证（2）.docx 投标函 残疾人福利性单位声明函 资格证明文件2.docx 服务方案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开标一览表 服务内容及服务邀请应答表 中小企业声明函 商务应答表 投标人应提交的相关资格证明材料 保证金交纳凭证（2）.docx 投标函 残疾人福利性单位声明函 资格证明文件2.docx 服务方案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 服务内容及服务邀请应答表 中小企业声明函 商务应答表 投标人应提交的相关资格证明材料 保证金交纳凭证（2）.docx 投标函 残疾人福利性单位声明函 资格证明文件2.docx 服务方案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1、投标人具有信息安全管理体系认证ISO/IEC 27001，ISO/IEC 27701，每个资质证书得2分。 2、投标人具有信息系统安全运维服务资质(二级及以上)、软件安全开发服务资质(二级及以上)的，每个资质证书得2分。 3、投标人具有信息技术服务标准符合性证书（ITSS）运行维护三级及以上的得2分。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提供投标人的2022年1月1日以来（以合同签订日期为准）类似业绩合同，每份计2分，满分10分。（须提供合同关键页扫描件，关键页包括体现合同标的、合同金额、签字盖章页的页面， 否则一律不认可）。</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根据投标人对项目总体需求理解是否精准，按其响应程度赋分。 1、对用户需求理解全面详尽准确，得10分； 2、对用户需求理解较为合理，能满足项目需求，得8分； 3、对用户需求理解简单，适用性一般，得5分； 4、对用户需求理解有偏差，适用性较差，得3分； 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w:t>
            </w:r>
          </w:p>
        </w:tc>
        <w:tc>
          <w:tcPr>
            <w:tcW w:type="dxa" w:w="2492"/>
          </w:tcPr>
          <w:p>
            <w:pPr>
              <w:pStyle w:val="null3"/>
            </w:pPr>
            <w:r>
              <w:rPr>
                <w:rFonts w:ascii="仿宋_GB2312" w:hAnsi="仿宋_GB2312" w:cs="仿宋_GB2312" w:eastAsia="仿宋_GB2312"/>
              </w:rPr>
              <w:t>投标人针对本项目中运行维护部分工作内容设计工作方案，方案设计合理、架构完整、层次清楚。 1、运行维护方案合理、针对性强、架构清晰完整，计20分； 2、运行维护方案较合理、针对性较强、架构比较清晰完整，计16分； 3、运行维护方案基本合理、针对性一般、架构基本清晰，计12分； 4、运行维护方案具有合理性但针对性不强、架构不够清晰，计8分； 5、运行维护方案合理性及针对性较差、架构模糊，计4分； 6、未提供计0分。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功能新增技术方案</w:t>
            </w:r>
          </w:p>
        </w:tc>
        <w:tc>
          <w:tcPr>
            <w:tcW w:type="dxa" w:w="2492"/>
          </w:tcPr>
          <w:p>
            <w:pPr>
              <w:pStyle w:val="null3"/>
            </w:pPr>
            <w:r>
              <w:rPr>
                <w:rFonts w:ascii="仿宋_GB2312" w:hAnsi="仿宋_GB2312" w:cs="仿宋_GB2312" w:eastAsia="仿宋_GB2312"/>
              </w:rPr>
              <w:t>投标人针对本项目中系统功能改造新增部分工作内容设计技术方案，方案设计合理、架构完整、层次清楚。 1、技术方案及主要技术措施合理、针对性强、架构清晰完整，计10分； 2、技术方案及主要技术措施较合理、针对性较强、架构比较清晰完整，计8分； 3、技术方案及主要技术措施基本合理、针对性一般、架构基本清晰，计5分； 4、技术方案及主要技术措施具有合理性但针对性不强、架构不够清晰，计3分； 5、未提供计0分。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安全措施</w:t>
            </w:r>
          </w:p>
        </w:tc>
        <w:tc>
          <w:tcPr>
            <w:tcW w:type="dxa" w:w="2492"/>
          </w:tcPr>
          <w:p>
            <w:pPr>
              <w:pStyle w:val="null3"/>
            </w:pPr>
            <w:r>
              <w:rPr>
                <w:rFonts w:ascii="仿宋_GB2312" w:hAnsi="仿宋_GB2312" w:cs="仿宋_GB2312" w:eastAsia="仿宋_GB2312"/>
              </w:rPr>
              <w:t>投标人的运行维护工作必须遵循并优化现有的安全体系，必须在现有安全体制下提出确保系统安全可靠的安全策略、措施和步骤。 1、方案合理全面、针对性强，计8分； 2、方案完整、有针对性，计5分； 3、方案不合理、不具备针对性，计3分； 4、未提供计0分。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运维服务计划</w:t>
            </w:r>
          </w:p>
        </w:tc>
        <w:tc>
          <w:tcPr>
            <w:tcW w:type="dxa" w:w="2492"/>
          </w:tcPr>
          <w:p>
            <w:pPr>
              <w:pStyle w:val="null3"/>
            </w:pPr>
            <w:r>
              <w:rPr>
                <w:rFonts w:ascii="仿宋_GB2312" w:hAnsi="仿宋_GB2312" w:cs="仿宋_GB2312" w:eastAsia="仿宋_GB2312"/>
              </w:rPr>
              <w:t>项目实施进度和运维服务计划安排合理，有明确的项目施工计划和项目进度安排，并提供人员驻场承诺函。 1、计划合理全面、针对性强，计5分； 2、计划完整、有针对性，计3分； 3、计划不合理、不具备针对性，计1分； 4、未提供计0分。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根据投标人针对本项目安排参与项目驻场运维的专业人员的数量、素质、资格认证证书、技术能力和经验等。 1、人员配置合理，证明材料齐全，计4分； 2、人员配置一般，证明资料齐全度一般，计3分； 3、人员配置较弱，证明资料不全，计2分； 4、未提供计0分。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投标人制定完整的项目售后服务方案，包括售后服务承诺、售后服务流程、质量保障且具备完整的客服体系服务运维管理系统等服务支撑体系。 1、方案完整、可行，计5分； 2、方案较完整、可行，计3分； 3、方案内容有缺漏项，计1分； 未提供计0分。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针对可能出现的问题及突发事件，有具体可行的应急措施和解决方案，内容包括但不限于运维响应时间、定期巡查、应急解决方案、服务监督管理机制、服务承诺等。 1、措施完整，科学合理，清晰明确，针对性强，计5分； 2、措施较完整，可行性、针对性一般，计3分； 3、措施简单，不具备针对性，计1分； 4、未提供计0分。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培训措施</w:t>
            </w:r>
          </w:p>
        </w:tc>
        <w:tc>
          <w:tcPr>
            <w:tcW w:type="dxa" w:w="2492"/>
          </w:tcPr>
          <w:p>
            <w:pPr>
              <w:pStyle w:val="null3"/>
            </w:pPr>
            <w:r>
              <w:rPr>
                <w:rFonts w:ascii="仿宋_GB2312" w:hAnsi="仿宋_GB2312" w:cs="仿宋_GB2312" w:eastAsia="仿宋_GB2312"/>
              </w:rPr>
              <w:t>提供详尽的培训方案及培训计划，并列出培训的具体内容及方式，确保使用人员能够独立熟练操作、维护和正常使用。 1、具有完善的培训方案，内容完整、合理，针对性强，计3分； 2、内容基本完整、合理，针对性一般，计2分； 3、内容简单、模糊，针对性差的，计1分； 4、未提供方案计0分。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项目总体技术方案</w:t>
            </w:r>
          </w:p>
        </w:tc>
        <w:tc>
          <w:tcPr>
            <w:tcW w:type="dxa" w:w="2492"/>
          </w:tcPr>
          <w:p>
            <w:pPr>
              <w:pStyle w:val="null3"/>
            </w:pPr>
            <w:r>
              <w:rPr>
                <w:rFonts w:ascii="仿宋_GB2312" w:hAnsi="仿宋_GB2312" w:cs="仿宋_GB2312" w:eastAsia="仿宋_GB2312"/>
              </w:rPr>
              <w:t>根据投标人针对本项目的总体技术方案响应情况赋分。 1、供应商针对本项目制定规范化的服务方案和定期预防性管理维护方案：方案设计合理、架构完整、层次清楚，可实施性强，得15分； 2、总体技术方案设计较为合理、架构完整、具有较好可实施性，得10分； 3、总体技术方案设计合理、架构较为完整、可实施性一般，得7分； 4、总体技术方案简单，可实施性一般的，得3分； 5、未提供计0分。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网络管理 方案</w:t>
            </w:r>
          </w:p>
        </w:tc>
        <w:tc>
          <w:tcPr>
            <w:tcW w:type="dxa" w:w="2492"/>
          </w:tcPr>
          <w:p>
            <w:pPr>
              <w:pStyle w:val="null3"/>
            </w:pPr>
            <w:r>
              <w:rPr>
                <w:rFonts w:ascii="仿宋_GB2312" w:hAnsi="仿宋_GB2312" w:cs="仿宋_GB2312" w:eastAsia="仿宋_GB2312"/>
              </w:rPr>
              <w:t>根据各投标人提供的网络管理方案（包括但不限于传输线路网络管理、子网和传输系统管理、通道管理、电路管理、运维管理、线路切割等方面）进行赋分。 1、方案合理、针对性强、架构清晰完整，计10分； 2、方案较合理、针对性较强、架构比较清晰完整，计7分； 3、方案基本合理、针对性一般、架构基本清晰，计3分； 4、方案具有合理性但针对性不强、架构不够清晰，计1分； 5、未提供计0分。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故障修复措施及响应时效</w:t>
            </w:r>
          </w:p>
        </w:tc>
        <w:tc>
          <w:tcPr>
            <w:tcW w:type="dxa" w:w="2492"/>
          </w:tcPr>
          <w:p>
            <w:pPr>
              <w:pStyle w:val="null3"/>
            </w:pPr>
            <w:r>
              <w:rPr>
                <w:rFonts w:ascii="仿宋_GB2312" w:hAnsi="仿宋_GB2312" w:cs="仿宋_GB2312" w:eastAsia="仿宋_GB2312"/>
              </w:rPr>
              <w:t>投标人根据制定故障修复措施的详细程度及响应时效进行综合赋分。 1、方案切实可行、完整合理、无缺项，响应时效快，完全满足招标文件要求，得5分； 2、方案完整度一般，但有一定的针对性和较好的可行性，响应时效较好，较好满足采购要求，得3分； 3、方案略有缺失，可行性一般，响应时效欠缺，得2分； 4、方案有严重缺失，可行性差，响应时效无法满足本项目需求，得1分； 未提供计0分。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组网设备性能及可靠程度</w:t>
            </w:r>
          </w:p>
        </w:tc>
        <w:tc>
          <w:tcPr>
            <w:tcW w:type="dxa" w:w="2492"/>
          </w:tcPr>
          <w:p>
            <w:pPr>
              <w:pStyle w:val="null3"/>
            </w:pPr>
            <w:r>
              <w:rPr>
                <w:rFonts w:ascii="仿宋_GB2312" w:hAnsi="仿宋_GB2312" w:cs="仿宋_GB2312" w:eastAsia="仿宋_GB2312"/>
              </w:rPr>
              <w:t>根据各投标人所提供用户端的组网线路安全服务方案可靠程度，进行赋分。 1、安全服务方案可靠程度高，计10分； 2、安全服务方案可靠程度较高，计7分； 3、安全方服务案可靠程度一般，计3分； 4、安全服务方案可靠程度与甲方实际需求存在细微偏差，计1分； 5、未提供计0分。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云视频会议平台和视频会议系统维护服务</w:t>
            </w:r>
          </w:p>
        </w:tc>
        <w:tc>
          <w:tcPr>
            <w:tcW w:type="dxa" w:w="2492"/>
          </w:tcPr>
          <w:p>
            <w:pPr>
              <w:pStyle w:val="null3"/>
            </w:pPr>
            <w:r>
              <w:rPr>
                <w:rFonts w:ascii="仿宋_GB2312" w:hAnsi="仿宋_GB2312" w:cs="仿宋_GB2312" w:eastAsia="仿宋_GB2312"/>
              </w:rPr>
              <w:t>针对“云视频会议平台和视频会议系统维护服务”部分服务要求进行阐述，包括客户需求、服务响应以及视频会议应急等方面进行赋分。 1、方案合理、针对性强、架构清晰完整，计10分； 2、方案较合理、针对性较强、架构比较清晰完整，计7分； 3、方案基本合理、针对性一般、架构基本清晰，计3分； 4、方案具有合理性但针对性不强、架构不够清晰，计1分； 5、未提供计0分。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应急服务预案</w:t>
            </w:r>
          </w:p>
        </w:tc>
        <w:tc>
          <w:tcPr>
            <w:tcW w:type="dxa" w:w="2492"/>
          </w:tcPr>
          <w:p>
            <w:pPr>
              <w:pStyle w:val="null3"/>
            </w:pPr>
            <w:r>
              <w:rPr>
                <w:rFonts w:ascii="仿宋_GB2312" w:hAnsi="仿宋_GB2312" w:cs="仿宋_GB2312" w:eastAsia="仿宋_GB2312"/>
              </w:rPr>
              <w:t>提供项目应急服务预案，根据其响应程度计分。 1、预案完整，科学合理，清晰明确，针对性强，计5分； 2、预案较完整，可行性、针对性一般，计3分； 3、预案简单，不具备针对性，计1分； 4、未提供计0分。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 绩</w:t>
            </w:r>
          </w:p>
        </w:tc>
        <w:tc>
          <w:tcPr>
            <w:tcW w:type="dxa" w:w="2492"/>
          </w:tcPr>
          <w:p>
            <w:pPr>
              <w:pStyle w:val="null3"/>
            </w:pPr>
            <w:r>
              <w:rPr>
                <w:rFonts w:ascii="仿宋_GB2312" w:hAnsi="仿宋_GB2312" w:cs="仿宋_GB2312" w:eastAsia="仿宋_GB2312"/>
              </w:rPr>
              <w:t>提供投标人的2022年1月1日以来（以合同签订日期为准）类似业绩合同，每份计2分，满分10分。（须提供合同关键页扫描件，关键页包括体现合同标的、合同金额、签字盖章页的页面， 否则一律不认可）。</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w:t>
            </w:r>
          </w:p>
        </w:tc>
        <w:tc>
          <w:tcPr>
            <w:tcW w:type="dxa" w:w="2492"/>
          </w:tcPr>
          <w:p>
            <w:pPr>
              <w:pStyle w:val="null3"/>
            </w:pPr>
            <w:r>
              <w:rPr>
                <w:rFonts w:ascii="仿宋_GB2312" w:hAnsi="仿宋_GB2312" w:cs="仿宋_GB2312" w:eastAsia="仿宋_GB2312"/>
              </w:rPr>
              <w:t>1、根据供应商的服务承诺，涵盖各项工作的时间进度计划、实施步骤等方面内容。方案合理全面、针对性强，计5分；方案完整、有针对性，计3分；方案不合理、不具备针对性，计1分；未提供计0分。 2、根据项目的服务内容从组织结构、项目实施团队上，须有符合要求的拟派驻线路技术维护人员、保障线路维护及时可靠，根据其人员配置情况进行赋分。方案合理全面、针对性强，计5分；方案完整、有针对性，计3分；方案不合理、不具备针对性，计1分；未提供计0分。 3、线路的故障诊断、故障恢复及维护管理方案合理，具有详细、具体可行的通信保障服务措施。措施合理全面、针对性强，计5分；措施完整、有针对性，计3分；措施不合理、不具备针对性，计1分；未提供计0分。 4、负责为采购人提供培训服务，并有完整的培训方案，列出详细的培训内容、培训方式等说明。方案合理全面、针对性强，计5分；方案完整、有针对性，计3分；方案不合理、不具备针对性，计1分；未提供计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投标人制定完整的项目售后服务方案，包括售后服务承诺、售后服务流程、质量保障且具备完整的客服体系服务运维管理系统等服务支撑体系。 1、方案完整、可行，计5分； 2、方案较完整、可行，计3分； 3、方案内容有缺漏项，计1分； 未提供计0分。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详见附件：保证金交纳凭证（1）.docx</w:t>
      </w:r>
    </w:p>
    <w:p>
      <w:pPr>
        <w:pStyle w:val="null3"/>
        <w:ind w:firstLine="960"/>
      </w:pPr>
      <w:r>
        <w:rPr>
          <w:rFonts w:ascii="仿宋_GB2312" w:hAnsi="仿宋_GB2312" w:cs="仿宋_GB2312" w:eastAsia="仿宋_GB2312"/>
        </w:rPr>
        <w:t>详见附件：资格证明文件1.docx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详见附件：保证金交纳凭证（2）.docx</w:t>
      </w:r>
    </w:p>
    <w:p>
      <w:pPr>
        <w:pStyle w:val="null3"/>
        <w:ind w:firstLine="960"/>
      </w:pPr>
      <w:r>
        <w:rPr>
          <w:rFonts w:ascii="仿宋_GB2312" w:hAnsi="仿宋_GB2312" w:cs="仿宋_GB2312" w:eastAsia="仿宋_GB2312"/>
        </w:rPr>
        <w:t>详见附件：资格证明文件2.docx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