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bookmarkStart w:id="0" w:name="_Toc1399"/>
      <w:bookmarkStart w:id="1" w:name="_Toc17961"/>
      <w:r>
        <w:rPr>
          <w:rFonts w:hint="eastAsia" w:ascii="宋体" w:hAnsi="宋体" w:eastAsia="宋体" w:cs="宋体"/>
          <w:b/>
          <w:bCs/>
          <w:color w:val="auto"/>
          <w:sz w:val="28"/>
          <w:szCs w:val="28"/>
          <w:highlight w:val="none"/>
          <w:lang w:val="zh-CN"/>
        </w:rPr>
        <w:t>合同条款及格式（参考）</w:t>
      </w:r>
      <w:bookmarkEnd w:id="0"/>
      <w:bookmarkEnd w:id="1"/>
    </w:p>
    <w:p>
      <w:pPr>
        <w:keepNext w:val="0"/>
        <w:keepLines w:val="0"/>
        <w:pageBreakBefore w:val="0"/>
        <w:widowControl w:val="0"/>
        <w:wordWrap/>
        <w:overflowPunct/>
        <w:topLinePunct w:val="0"/>
        <w:bidi w:val="0"/>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（本格式条款供采购人和成交供应商双方签订合同参考，最终以采购人实际签订的合同为准）</w:t>
      </w:r>
    </w:p>
    <w:p>
      <w:pPr>
        <w:keepNext w:val="0"/>
        <w:keepLines w:val="0"/>
        <w:pageBreakBefore w:val="0"/>
        <w:widowControl w:val="0"/>
        <w:wordWrap/>
        <w:overflowPunct/>
        <w:topLinePunct w:val="0"/>
        <w:bidi w:val="0"/>
        <w:spacing w:line="360" w:lineRule="auto"/>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lang w:eastAsia="zh-CN"/>
        </w:rPr>
        <w:t>采购人：</w:t>
      </w:r>
      <w:r>
        <w:rPr>
          <w:rFonts w:hint="eastAsia" w:ascii="宋体" w:hAnsi="宋体" w:eastAsia="宋体" w:cs="宋体"/>
          <w:b/>
          <w:bCs/>
          <w:sz w:val="24"/>
          <w:szCs w:val="24"/>
          <w:u w:val="single"/>
          <w:lang w:val="en-US" w:eastAsia="zh-CN"/>
        </w:rPr>
        <w:t xml:space="preserve">                     </w:t>
      </w:r>
    </w:p>
    <w:p>
      <w:pPr>
        <w:keepNext w:val="0"/>
        <w:keepLines w:val="0"/>
        <w:pageBreakBefore w:val="0"/>
        <w:widowControl w:val="0"/>
        <w:wordWrap/>
        <w:overflowPunct/>
        <w:topLinePunct w:val="0"/>
        <w:bidi w:val="0"/>
        <w:spacing w:line="360" w:lineRule="auto"/>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lang w:eastAsia="zh-CN"/>
        </w:rPr>
        <w:t>供应商：</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u w:val="single"/>
          <w:lang w:val="en-US" w:eastAsia="zh-CN"/>
        </w:rPr>
        <w:t xml:space="preserve">                    </w:t>
      </w:r>
    </w:p>
    <w:p>
      <w:pPr>
        <w:keepNext w:val="0"/>
        <w:keepLines w:val="0"/>
        <w:pageBreakBefore w:val="0"/>
        <w:widowControl w:val="0"/>
        <w:wordWrap/>
        <w:overflowPunct/>
        <w:topLinePunct w:val="0"/>
        <w:bidi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甲、乙双方根据《中华人民共和国民法典》等相关法律，遵循公平、诚实、守信和尊重社会公德、维护社会经济秩序与公共利益的原则，签订本合同。</w:t>
      </w:r>
    </w:p>
    <w:p>
      <w:pPr>
        <w:keepNext w:val="0"/>
        <w:keepLines w:val="0"/>
        <w:pageBreakBefore w:val="0"/>
        <w:widowControl w:val="0"/>
        <w:wordWrap/>
        <w:overflowPunct/>
        <w:topLinePunct w:val="0"/>
        <w:bidi w:val="0"/>
        <w:spacing w:line="360" w:lineRule="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一、合同内容及金额</w:t>
      </w:r>
    </w:p>
    <w:p>
      <w:pPr>
        <w:keepNext w:val="0"/>
        <w:keepLines w:val="0"/>
        <w:pageBreakBefore w:val="0"/>
        <w:widowControl w:val="0"/>
        <w:wordWrap/>
        <w:overflowPunct/>
        <w:topLinePunct w:val="0"/>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eastAsia="zh-CN"/>
        </w:rPr>
        <w:t>总价：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元</w:t>
      </w:r>
      <w:bookmarkStart w:id="2" w:name="_GoBack"/>
      <w:bookmarkEnd w:id="2"/>
    </w:p>
    <w:p>
      <w:pPr>
        <w:keepNext w:val="0"/>
        <w:keepLines w:val="0"/>
        <w:pageBreakBefore w:val="0"/>
        <w:widowControl w:val="0"/>
        <w:wordWrap/>
        <w:overflowPunct/>
        <w:topLinePunct w:val="0"/>
        <w:bidi w:val="0"/>
        <w:spacing w:line="360" w:lineRule="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二、产品技术规格、数量：</w:t>
      </w:r>
      <w:r>
        <w:rPr>
          <w:rFonts w:hint="eastAsia" w:ascii="宋体" w:hAnsi="宋体" w:eastAsia="宋体" w:cs="宋体"/>
          <w:sz w:val="24"/>
          <w:szCs w:val="24"/>
          <w:lang w:val="en-US" w:eastAsia="zh-CN"/>
        </w:rPr>
        <w:t>即交付的产品技术规格、型号、数量与响应文件所指明的，或者与本合同所指明的产品技术规格及型号相一致，详见分项报价清单。</w:t>
      </w:r>
    </w:p>
    <w:p>
      <w:pPr>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三、标准：</w:t>
      </w:r>
      <w:r>
        <w:rPr>
          <w:rFonts w:hint="eastAsia" w:ascii="宋体" w:hAnsi="宋体" w:eastAsia="宋体" w:cs="宋体"/>
          <w:sz w:val="24"/>
          <w:szCs w:val="24"/>
          <w:lang w:val="en-US" w:eastAsia="zh-CN"/>
        </w:rPr>
        <w:t>产品的原材料、技术要求等严格按照99式囚服标准执行。</w:t>
      </w:r>
    </w:p>
    <w:p>
      <w:pPr>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b/>
          <w:bCs/>
          <w:sz w:val="24"/>
          <w:szCs w:val="24"/>
          <w:highlight w:val="none"/>
          <w:lang w:val="en-US" w:eastAsia="zh-CN"/>
        </w:rPr>
        <w:t>四、合同履行期及交货地点</w:t>
      </w:r>
      <w:r>
        <w:rPr>
          <w:rFonts w:hint="eastAsia" w:ascii="宋体" w:hAnsi="宋体" w:eastAsia="宋体" w:cs="宋体"/>
          <w:sz w:val="24"/>
          <w:szCs w:val="24"/>
          <w:highlight w:val="none"/>
          <w:lang w:val="en-US" w:eastAsia="zh-CN"/>
        </w:rPr>
        <w:t>：自合同签订之日起1年；</w:t>
      </w:r>
    </w:p>
    <w:p>
      <w:pPr>
        <w:keepNext w:val="0"/>
        <w:keepLines w:val="0"/>
        <w:pageBreakBefore w:val="0"/>
        <w:widowControl w:val="0"/>
        <w:numPr>
          <w:ilvl w:val="0"/>
          <w:numId w:val="0"/>
        </w:numPr>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合同履约地点：陕西省华山监狱 </w:t>
      </w:r>
    </w:p>
    <w:p>
      <w:pPr>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五、包装：</w:t>
      </w:r>
      <w:r>
        <w:rPr>
          <w:rFonts w:hint="eastAsia" w:ascii="宋体" w:hAnsi="宋体" w:eastAsia="宋体" w:cs="宋体"/>
          <w:sz w:val="24"/>
          <w:szCs w:val="24"/>
          <w:lang w:val="en-US" w:eastAsia="zh-CN"/>
        </w:rPr>
        <w:t>按司法部囚服标准包装。</w:t>
      </w:r>
    </w:p>
    <w:p>
      <w:pPr>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六、结算方式：</w:t>
      </w:r>
      <w:r>
        <w:rPr>
          <w:rFonts w:hint="eastAsia" w:ascii="宋体" w:hAnsi="宋体" w:eastAsia="宋体" w:cs="宋体"/>
          <w:b w:val="0"/>
          <w:bCs w:val="0"/>
          <w:sz w:val="24"/>
          <w:szCs w:val="24"/>
          <w:lang w:val="en-US" w:eastAsia="zh-CN"/>
        </w:rPr>
        <w:t>货到付款，达到付款条件起 30 日内，支付合同总金额的100.00%。</w:t>
      </w:r>
    </w:p>
    <w:p>
      <w:pPr>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七、验收</w:t>
      </w:r>
      <w:r>
        <w:rPr>
          <w:rFonts w:hint="eastAsia" w:ascii="宋体" w:hAnsi="宋体" w:eastAsia="宋体" w:cs="宋体"/>
          <w:sz w:val="24"/>
          <w:szCs w:val="24"/>
          <w:lang w:val="en-US" w:eastAsia="zh-CN"/>
        </w:rPr>
        <w:t xml:space="preserve">：供应商按采购人要求将全部货物到指定地点并完成相关工作后，采购人组织验收，质量按单一来源采购文件的采购参数内容验收。检测方法、抽样数量等依据国家、省、市现行法规、规范及标准的标准执行。 </w:t>
      </w:r>
    </w:p>
    <w:p>
      <w:pPr>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八、违约责任</w:t>
      </w:r>
    </w:p>
    <w:p>
      <w:pPr>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（一）按《中华人民共和国民法典》中的相关条款执行。 </w:t>
      </w:r>
    </w:p>
    <w:p>
      <w:pPr>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未按合同或报价要求提供产品或供应提供的产品质量不能满足采购人技术要求，其所发生的一切费用由乙方自行承担，给采购人造成损失的应予以赔偿，乙方在供货中若发生重大违法犯罪记录、及偷税漏税等不良行为，采购人有权终止合同，甚至对乙方违约行为进行追究，同时采购人有权取消其乙方中标资格。 （三）在合同实施过程中，若乙方未按合同要求提供货物，甲方将提出限期整改要求，乙方应根据要求及时整改。若乙方未按要求进行整改，甲方有权单方面终止合同。</w:t>
      </w:r>
    </w:p>
    <w:p>
      <w:pPr>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（四）因包装不符合合同规定而造成货物损坏、丢失由乙方承担。</w:t>
      </w:r>
    </w:p>
    <w:p>
      <w:pPr>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（五）.因自然、国家管控等不可抗力原因造成延误交货的，双方协商解决。</w:t>
      </w:r>
    </w:p>
    <w:p>
      <w:pPr>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九、合同其他条款：</w:t>
      </w:r>
    </w:p>
    <w:p>
      <w:pPr>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（一）乙方不得转让、分包给其它单位或个人。</w:t>
      </w:r>
    </w:p>
    <w:p>
      <w:pPr>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 xml:space="preserve">（二）乙方的谈判响应文件和承诺等内容将列入合同。 </w:t>
      </w:r>
    </w:p>
    <w:p>
      <w:pPr>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十、争议的解决</w:t>
      </w:r>
    </w:p>
    <w:p>
      <w:pPr>
        <w:keepNext w:val="0"/>
        <w:keepLines w:val="0"/>
        <w:pageBreakBefore w:val="0"/>
        <w:widowControl w:val="0"/>
        <w:numPr>
          <w:ilvl w:val="0"/>
          <w:numId w:val="0"/>
        </w:numPr>
        <w:wordWrap/>
        <w:overflowPunct/>
        <w:topLinePunct w:val="0"/>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本合同在履行过程中发生的争议，由甲、乙双方当事人协商解决，协商不成的按下列 第（二）种方式解决：（一）提交仲裁委员会仲裁；（二）依法向甲方所在地人民法院起诉。 </w:t>
      </w:r>
    </w:p>
    <w:p>
      <w:pPr>
        <w:keepNext w:val="0"/>
        <w:keepLines w:val="0"/>
        <w:pageBreakBefore w:val="0"/>
        <w:widowControl w:val="0"/>
        <w:numPr>
          <w:ilvl w:val="0"/>
          <w:numId w:val="0"/>
        </w:numPr>
        <w:wordWrap/>
        <w:overflowPunct/>
        <w:topLinePunct w:val="0"/>
        <w:bidi w:val="0"/>
        <w:spacing w:line="360" w:lineRule="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十一、</w:t>
      </w:r>
      <w:r>
        <w:rPr>
          <w:rFonts w:hint="eastAsia" w:ascii="宋体" w:hAnsi="宋体" w:eastAsia="宋体" w:cs="宋体"/>
          <w:sz w:val="24"/>
          <w:szCs w:val="24"/>
          <w:lang w:val="en-US" w:eastAsia="zh-CN"/>
        </w:rPr>
        <w:t>本合同一式四份。甲方二份、乙方二份，各方签字盖章后生效。</w:t>
      </w:r>
    </w:p>
    <w:p>
      <w:pPr>
        <w:pStyle w:val="4"/>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lang w:val="en-US" w:eastAsia="zh-CN"/>
        </w:rPr>
      </w:pPr>
    </w:p>
    <w:p>
      <w:pPr>
        <w:pStyle w:val="3"/>
        <w:keepNext w:val="0"/>
        <w:keepLines w:val="0"/>
        <w:pageBreakBefore w:val="0"/>
        <w:widowControl w:val="0"/>
        <w:wordWrap/>
        <w:overflowPunct/>
        <w:topLinePunct w:val="0"/>
        <w:bidi w:val="0"/>
        <w:spacing w:line="360" w:lineRule="auto"/>
        <w:rPr>
          <w:rFonts w:hint="eastAsia" w:ascii="宋体" w:hAnsi="宋体" w:eastAsia="宋体" w:cs="宋体"/>
          <w:lang w:val="en-US" w:eastAsia="zh-CN"/>
        </w:rPr>
      </w:pPr>
    </w:p>
    <w:p>
      <w:pPr>
        <w:rPr>
          <w:rFonts w:hint="eastAsia" w:ascii="宋体" w:hAnsi="宋体" w:eastAsia="宋体" w:cs="宋体"/>
          <w:lang w:val="en-US" w:eastAsia="zh-CN"/>
        </w:rPr>
      </w:pPr>
    </w:p>
    <w:tbl>
      <w:tblPr>
        <w:tblStyle w:val="5"/>
        <w:tblpPr w:leftFromText="180" w:rightFromText="180" w:vertAnchor="text" w:horzAnchor="page" w:tblpX="1940" w:tblpY="169"/>
        <w:tblOverlap w:val="never"/>
        <w:tblW w:w="8403" w:type="dxa"/>
        <w:tblInd w:w="0" w:type="dxa"/>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w:t>
            </w:r>
          </w:p>
        </w:tc>
        <w:tc>
          <w:tcPr>
            <w:tcW w:w="4202"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  方</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c>
          <w:tcPr>
            <w:tcW w:w="4202"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tc>
        <w:tc>
          <w:tcPr>
            <w:tcW w:w="4202"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202"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 </w:t>
            </w:r>
          </w:p>
        </w:tc>
        <w:tc>
          <w:tcPr>
            <w:tcW w:w="4202"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c>
          <w:tcPr>
            <w:tcW w:w="4202"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202"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202"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4202"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tblPrEx>
          <w:tblCellMar>
            <w:top w:w="0" w:type="dxa"/>
            <w:left w:w="108" w:type="dxa"/>
            <w:bottom w:w="0" w:type="dxa"/>
            <w:right w:w="108" w:type="dxa"/>
          </w:tblCellMar>
        </w:tblPrEx>
        <w:trPr>
          <w:trHeight w:val="567" w:hRule="exact"/>
        </w:trPr>
        <w:tc>
          <w:tcPr>
            <w:tcW w:w="4201"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c>
          <w:tcPr>
            <w:tcW w:w="4202" w:type="dxa"/>
            <w:noWrap w:val="0"/>
            <w:vAlign w:val="center"/>
          </w:tcPr>
          <w:p>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r>
    </w:tbl>
    <w:p>
      <w:pPr>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2NzA3NDE1M2U1MjMwMDlmOGYwZGVmNjY2ZDE3ZmUifQ=="/>
    <w:docVar w:name="KSO_WPS_MARK_KEY" w:val="41c1154e-a412-4237-80c7-445dfa5cff30"/>
  </w:docVars>
  <w:rsids>
    <w:rsidRoot w:val="2F3B76B1"/>
    <w:rsid w:val="23865A9B"/>
    <w:rsid w:val="2BA32F80"/>
    <w:rsid w:val="2F3B76B1"/>
    <w:rsid w:val="34D34694"/>
    <w:rsid w:val="4F4A3601"/>
    <w:rsid w:val="73BD5B7D"/>
    <w:rsid w:val="748A6AD8"/>
    <w:rsid w:val="7C613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paragraph" w:styleId="2">
    <w:name w:val="heading 1"/>
    <w:basedOn w:val="1"/>
    <w:next w:val="1"/>
    <w:qFormat/>
    <w:uiPriority w:val="1"/>
    <w:pPr>
      <w:ind w:left="3696"/>
      <w:outlineLvl w:val="1"/>
    </w:pPr>
    <w:rPr>
      <w:rFonts w:ascii="宋体" w:hAnsi="宋体" w:eastAsia="宋体"/>
      <w:sz w:val="31"/>
      <w:szCs w:val="31"/>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ind w:left="490"/>
    </w:pPr>
    <w:rPr>
      <w:rFonts w:ascii="宋体" w:hAnsi="宋体" w:eastAsia="宋体"/>
      <w:sz w:val="19"/>
      <w:szCs w:val="19"/>
    </w:rPr>
  </w:style>
  <w:style w:type="paragraph" w:styleId="4">
    <w:name w:val="footer"/>
    <w:basedOn w:val="1"/>
    <w:next w:val="3"/>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979</Words>
  <Characters>987</Characters>
  <Lines>0</Lines>
  <Paragraphs>0</Paragraphs>
  <TotalTime>10</TotalTime>
  <ScaleCrop>false</ScaleCrop>
  <LinksUpToDate>false</LinksUpToDate>
  <CharactersWithSpaces>1069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2024-01-19T06:43:00Z</dcterms:created>
  <dc:creator>夏天有点热</dc:creator>
  <cp:lastModifiedBy>申佩玉</cp:lastModifiedBy>
  <dcterms:modified xsi:type="dcterms:W3CDTF">2024-07-10T01:59:24Z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0E7A961BE61D4F6484BD3FB1E9DA9FAA_11</vt:lpwstr>
  </property>
</Properties>
</file>