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版本号：KY2025-3-12720250627001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法治思想“三进”成果展室数据库采购项目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KY2025-3-127</w:t>
      </w:r>
      <w:r>
        <w:br/>
      </w:r>
      <w:r>
        <w:br/>
      </w:r>
      <w:r>
        <w:br/>
      </w:r>
    </w:p>
    <w:p>
      <w:pPr>
        <w:pStyle w:val="null3"/>
        <w:jc w:val="center"/>
        <w:outlineLvl w:val="5"/>
      </w:pPr>
      <w:r>
        <w:rPr>
          <w:rFonts w:ascii="仿宋_GB2312" w:hAnsi="仿宋_GB2312" w:cs="仿宋_GB2312" w:eastAsia="仿宋_GB2312"/>
          <w:sz w:val="15"/>
          <w:b/>
        </w:rPr>
        <w:t>西北政法大学</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法治思想“三进”成果展室数据库采购项目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KY2025-3-127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法治思想“三进”成果展室数据库采购项目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西北政法大学法治思想“三进”成果展室数据库采购项目，1项，详见单一来源文件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采购包1（法治思想“三进”成果展室数据库采购）：属于专门面向小微企业采购。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7、法定代表人授权书及被授权人身份证复印件：法定代表人授权书及被授权人身份证复印件。（法定代表人直接投标只须提交其法定代表人证明书）</w:t>
      </w:r>
    </w:p>
    <w:p>
      <w:pPr>
        <w:pStyle w:val="null3"/>
      </w:pPr>
      <w:r>
        <w:rPr>
          <w:rFonts w:ascii="仿宋_GB2312" w:hAnsi="仿宋_GB2312" w:cs="仿宋_GB2312" w:eastAsia="仿宋_GB2312"/>
        </w:rPr>
        <w:t>8、提供中小企业声明函：提供中小企业声明函。（本项目为专门面向小、微型企业采购项目）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费用计取参照国家计委颁布的《招标代理服务收费管理暂行办法》（计价格[2002]1980号）及发改办价格[2003]857号文件的规定标准计取。2、本项目中标服务费按服务计取。3、由中标单位在领取中标通知书前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西北政法大学法治思想“三进”成果展室数据库采购项目，1项，详见单一来源文件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法治思想“三进”成果展室数据库</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标的名称：法治思想“三进”成果展室数据库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1.采购内容：采购“总书记系列重要讲话”数据库，服务期限为两年。</w:t>
            </w:r>
          </w:p>
          <w:p>
            <w:pPr>
              <w:pStyle w:val="null3"/>
            </w:pPr>
            <w:r>
              <w:rPr>
                <w:rFonts w:ascii="仿宋_GB2312" w:hAnsi="仿宋_GB2312" w:cs="仿宋_GB2312" w:eastAsia="仿宋_GB2312"/>
                <w:sz w:val="21"/>
              </w:rPr>
              <w:t>2.主要功能或目标：提供总书记系列重要讲话数字资源，满足教学科研需求。并支持全文检索、分类筛选、数据导出等功能，提升师生研究效率。</w:t>
            </w:r>
          </w:p>
          <w:p>
            <w:pPr>
              <w:pStyle w:val="null3"/>
            </w:pPr>
            <w:r>
              <w:rPr>
                <w:rFonts w:ascii="仿宋_GB2312" w:hAnsi="仿宋_GB2312" w:cs="仿宋_GB2312" w:eastAsia="仿宋_GB2312"/>
                <w:sz w:val="21"/>
              </w:rPr>
              <w:t>3.需满足的技术规格、服务及验收要求：支持Web端及移动端访问，兼容主流浏览器；提供3年原厂技术支持，确保数据完整性和系统稳定性；满足全校学生以及教职工的科研学习需要。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二、技术参数：</w:t>
            </w:r>
          </w:p>
          <w:p>
            <w:pPr>
              <w:pStyle w:val="null3"/>
            </w:pPr>
            <w:r>
              <w:rPr>
                <w:rFonts w:ascii="仿宋_GB2312" w:hAnsi="仿宋_GB2312" w:cs="仿宋_GB2312" w:eastAsia="仿宋_GB2312"/>
                <w:sz w:val="21"/>
              </w:rPr>
              <w:t>1.购置内容：《</w:t>
            </w:r>
            <w:r>
              <w:rPr>
                <w:rFonts w:ascii="仿宋_GB2312" w:hAnsi="仿宋_GB2312" w:cs="仿宋_GB2312" w:eastAsia="仿宋_GB2312"/>
                <w:sz w:val="21"/>
              </w:rPr>
              <w:t>总书记</w:t>
            </w:r>
            <w:r>
              <w:rPr>
                <w:rFonts w:ascii="仿宋_GB2312" w:hAnsi="仿宋_GB2312" w:cs="仿宋_GB2312" w:eastAsia="仿宋_GB2312"/>
                <w:sz w:val="21"/>
              </w:rPr>
              <w:t>系列重要讲话数据库》是由人民网中国共产党新闻网在中央网信办指导下收集整理，重点收录十八大以来总书记发表的系列重要讲话、相关重要论述、活动、会议、批示、书 信、致辞等制作而成的数据库系统，是首个以数据库形式向广大网友宣传和推介总书记重要讲话的数据库专题，涵盖经济、政治、文化、社会、生态、党建、国防、外交等各个领域。数据库兼具资料性、可检索性等功能，党员干部及广大群众可以把数据库作为学总书记系列重要讲话精神的有效平台，也可以根据讲话发表的时间、内容或直接输入关键词来实现精准搜索阅读。旨在成为全党、全国人民认真学总书记系列重要讲话和治国理政新理念新思想新战略的金钥匙。</w:t>
            </w:r>
          </w:p>
          <w:p>
            <w:pPr>
              <w:pStyle w:val="null3"/>
            </w:pPr>
            <w:r>
              <w:rPr>
                <w:rFonts w:ascii="仿宋_GB2312" w:hAnsi="仿宋_GB2312" w:cs="仿宋_GB2312" w:eastAsia="仿宋_GB2312"/>
                <w:sz w:val="21"/>
              </w:rPr>
              <w:t>2.要求：收录人民日报等权威媒体公开发表的十八大以来总书记系列重要讲话原文400余篇，相关重要论述、活动、会议、批示、书信、致辞、音视频等共计6000多篇，涵盖经济、政治、文化、社会、生态、党建、国防、外交等各个领域。</w:t>
            </w:r>
          </w:p>
          <w:p>
            <w:pPr>
              <w:pStyle w:val="null3"/>
            </w:pPr>
            <w:r>
              <w:rPr>
                <w:rFonts w:ascii="仿宋_GB2312" w:hAnsi="仿宋_GB2312" w:cs="仿宋_GB2312" w:eastAsia="仿宋_GB2312"/>
                <w:sz w:val="21"/>
              </w:rPr>
              <w:t>3.检索功能齐全：用户既可以查询总书记的最新讲话，又可以根据讲话发表时间、内容或输入关键字精准查找总书记系列重要讲话原文或相关内容，极大地提高用户阅读、学习、使用效率，满足用户的个性化需求。</w:t>
            </w:r>
          </w:p>
          <w:p>
            <w:pPr>
              <w:pStyle w:val="null3"/>
            </w:pPr>
            <w:r>
              <w:rPr>
                <w:rFonts w:ascii="仿宋_GB2312" w:hAnsi="仿宋_GB2312" w:cs="仿宋_GB2312" w:eastAsia="仿宋_GB2312"/>
                <w:sz w:val="21"/>
              </w:rPr>
              <w:t>4.使用方式及并发数：远程包库访问，并发数不低于50。</w:t>
            </w:r>
          </w:p>
          <w:p>
            <w:pPr>
              <w:pStyle w:val="null3"/>
            </w:pPr>
            <w:r>
              <w:rPr>
                <w:rFonts w:ascii="仿宋_GB2312" w:hAnsi="仿宋_GB2312" w:cs="仿宋_GB2312" w:eastAsia="仿宋_GB2312"/>
                <w:sz w:val="21"/>
              </w:rPr>
              <w:t>5.服务：提供7*24全天候服务（遇假期顺延）。</w:t>
            </w:r>
          </w:p>
          <w:p>
            <w:pPr>
              <w:pStyle w:val="null3"/>
            </w:pPr>
            <w:r>
              <w:rPr>
                <w:rFonts w:ascii="仿宋_GB2312" w:hAnsi="仿宋_GB2312" w:cs="仿宋_GB2312" w:eastAsia="仿宋_GB2312"/>
                <w:sz w:val="21"/>
              </w:rPr>
              <w:t>6.更新：实时更新。</w:t>
            </w:r>
          </w:p>
          <w:p>
            <w:pPr>
              <w:pStyle w:val="null3"/>
            </w:pPr>
            <w:r>
              <w:rPr>
                <w:rFonts w:ascii="仿宋_GB2312" w:hAnsi="仿宋_GB2312" w:cs="仿宋_GB2312" w:eastAsia="仿宋_GB2312"/>
                <w:sz w:val="21"/>
              </w:rPr>
              <w:t>7.知识产权：所供数据库信息内容符合中华人民共和国相关法律，保证所供信息无知识产权纠纷，并提供《人民日报》（1946年至今）、《求是》（1988年至今）的电子版全部内容授权文件或备忘录。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合同签署后，按合同执行7日后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徐闫靖双、王琦，联系电话：029-81206622/81206633-841）。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法定代表人授权书及被授权人身份证复印件。（法定代表人直接投标只须提交其法定代表人证明书）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提供中小企业声明函。（本项目为专门面向小、微型企业采购项目）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 ⑩本项目为专门面向小、微企业采购项目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标的清单 报价表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