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版本号：SXKR2025063120250627001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2025年度日常监管与专项执法项目（执法辅助-涉气）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SXKR20250631</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2025年度日常监管与专项执法项目（执法辅助-涉气）</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SXKR20250631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2025年度日常监管与专项执法项目（执法辅助-涉气）</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生态环境综合行政执法日常检查的不同执法需求，本项目依托第三方服务机构为采购人提供2025年陕西省涉VOC企业有组织排放，涉脱硫、脱硝、除尘企业有组织排放常态化执法辅助服务，要求服务标准满足国家及行业验收标准。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采购包1（2025年度日常监管与专项执法项目（执法辅助-涉气））：属于专门面向中小企业采购。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3、资质要求：供应商应具备有效期内监督管理部门颁发的检验检测机构资质认定证书（CMA），且与本项目相适应的检测能力已包含在资质认定批准的能力范围内；</w:t>
      </w:r>
    </w:p>
    <w:p>
      <w:pPr>
        <w:pStyle w:val="null3"/>
      </w:pPr>
      <w:r>
        <w:rPr>
          <w:rFonts w:ascii="仿宋_GB2312" w:hAnsi="仿宋_GB2312" w:cs="仿宋_GB2312" w:eastAsia="仿宋_GB2312"/>
        </w:rPr>
        <w:t>4、是否接受联合体投标：本项目不接受联合体投标。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姚瑶、代光艳、刘昆、贺玉发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说明：合同签订后，乙方向甲方出具合同额5%的履约保函（基本户银行保函），待本项目服务完成并验收合格后，甲方向乙方退还履约保函。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857号）的有关规定向采购代理机构一次付清代理服务费，收费不足6000元按6000元计取。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联系人：姚瑶、贺玉发</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生态环境综合行政执法日常检查的不同执法需求，本项目依托第三方服务机构为采购人提供2025年陕西省涉VOC企业有组织排放，涉脱硫、脱硝、除尘企业有组织排放常态化执法辅助服务，要求服务标准满足国家及行业验收标准。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2025年度日常监管与专项执法项目（执法辅助-涉气）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标的名称：2025年度日常监管与专项执法项目（执法辅助-涉气）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本项目依托第</w:t>
            </w:r>
            <w:r>
              <w:rPr>
                <w:rFonts w:ascii="仿宋_GB2312" w:hAnsi="仿宋_GB2312" w:cs="仿宋_GB2312" w:eastAsia="仿宋_GB2312"/>
                <w:sz w:val="24"/>
              </w:rPr>
              <w:t>三方服务机构为采购人提供</w:t>
            </w:r>
            <w:r>
              <w:rPr>
                <w:rFonts w:ascii="仿宋_GB2312" w:hAnsi="仿宋_GB2312" w:cs="仿宋_GB2312" w:eastAsia="仿宋_GB2312"/>
                <w:sz w:val="24"/>
              </w:rPr>
              <w:t>2025年陕西省涉VOC企业有组织排放，涉脱硫、脱硝、除尘企业有组织排放</w:t>
            </w:r>
            <w:r>
              <w:rPr>
                <w:rFonts w:ascii="仿宋_GB2312" w:hAnsi="仿宋_GB2312" w:cs="仿宋_GB2312" w:eastAsia="仿宋_GB2312"/>
                <w:sz w:val="24"/>
              </w:rPr>
              <w:t>常态化执法辅助服务，要求服务标准满足国家及行业验收标准。其中：</w:t>
            </w:r>
            <w:r>
              <w:rPr>
                <w:rFonts w:ascii="仿宋_GB2312" w:hAnsi="仿宋_GB2312" w:cs="仿宋_GB2312" w:eastAsia="仿宋_GB2312"/>
                <w:sz w:val="24"/>
              </w:rPr>
              <w:t>涉</w:t>
            </w:r>
            <w:r>
              <w:rPr>
                <w:rFonts w:ascii="仿宋_GB2312" w:hAnsi="仿宋_GB2312" w:cs="仿宋_GB2312" w:eastAsia="仿宋_GB2312"/>
                <w:sz w:val="24"/>
              </w:rPr>
              <w:t>VOC企业120</w:t>
            </w:r>
            <w:r>
              <w:rPr>
                <w:rFonts w:ascii="仿宋_GB2312" w:hAnsi="仿宋_GB2312" w:cs="仿宋_GB2312" w:eastAsia="仿宋_GB2312"/>
                <w:sz w:val="24"/>
              </w:rPr>
              <w:t>个，</w:t>
            </w:r>
            <w:r>
              <w:rPr>
                <w:rFonts w:ascii="仿宋_GB2312" w:hAnsi="仿宋_GB2312" w:cs="仿宋_GB2312" w:eastAsia="仿宋_GB2312"/>
                <w:sz w:val="24"/>
              </w:rPr>
              <w:t>涉脱硫、脱硝、除尘企业</w:t>
            </w:r>
            <w:r>
              <w:rPr>
                <w:rFonts w:ascii="仿宋_GB2312" w:hAnsi="仿宋_GB2312" w:cs="仿宋_GB2312" w:eastAsia="仿宋_GB2312"/>
                <w:sz w:val="24"/>
              </w:rPr>
              <w:t>118</w:t>
            </w:r>
            <w:r>
              <w:rPr>
                <w:rFonts w:ascii="仿宋_GB2312" w:hAnsi="仿宋_GB2312" w:cs="仿宋_GB2312" w:eastAsia="仿宋_GB2312"/>
                <w:sz w:val="24"/>
              </w:rPr>
              <w:t>个，并出具合法有效的检验检测</w:t>
            </w:r>
            <w:r>
              <w:rPr>
                <w:rFonts w:ascii="仿宋_GB2312" w:hAnsi="仿宋_GB2312" w:cs="仿宋_GB2312" w:eastAsia="仿宋_GB2312"/>
                <w:sz w:val="24"/>
              </w:rPr>
              <w:t>/监测报告</w:t>
            </w:r>
            <w:r>
              <w:rPr>
                <w:rFonts w:ascii="仿宋_GB2312" w:hAnsi="仿宋_GB2312" w:cs="仿宋_GB2312" w:eastAsia="仿宋_GB2312"/>
                <w:sz w:val="24"/>
              </w:rPr>
              <w:t>238</w:t>
            </w:r>
            <w:r>
              <w:rPr>
                <w:rFonts w:ascii="仿宋_GB2312" w:hAnsi="仿宋_GB2312" w:cs="仿宋_GB2312" w:eastAsia="仿宋_GB2312"/>
                <w:sz w:val="24"/>
              </w:rPr>
              <w:t>份。</w:t>
            </w:r>
          </w:p>
          <w:p>
            <w:pPr>
              <w:pStyle w:val="null3"/>
            </w:pPr>
            <w:r>
              <w:rPr>
                <w:rFonts w:ascii="仿宋_GB2312" w:hAnsi="仿宋_GB2312" w:cs="仿宋_GB2312" w:eastAsia="仿宋_GB2312"/>
                <w:sz w:val="24"/>
                <w:b/>
              </w:rPr>
              <w:t>二、技术要求</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脱硫、脱硝、除尘企业</w:t>
            </w:r>
            <w:r>
              <w:rPr>
                <w:rFonts w:ascii="仿宋_GB2312" w:hAnsi="仿宋_GB2312" w:cs="仿宋_GB2312" w:eastAsia="仿宋_GB2312"/>
                <w:sz w:val="24"/>
              </w:rPr>
              <w:t>依据</w:t>
            </w:r>
            <w:r>
              <w:rPr>
                <w:rFonts w:ascii="仿宋_GB2312" w:hAnsi="仿宋_GB2312" w:cs="仿宋_GB2312" w:eastAsia="仿宋_GB2312"/>
                <w:sz w:val="24"/>
              </w:rPr>
              <w:t>以下标准监测因子二氧化硫、氮氧化物、颗粒物：</w:t>
            </w:r>
          </w:p>
          <w:p>
            <w:pPr>
              <w:pStyle w:val="null3"/>
              <w:ind w:left="435"/>
            </w:pPr>
            <w:r>
              <w:rPr>
                <w:rFonts w:ascii="仿宋_GB2312" w:hAnsi="仿宋_GB2312" w:cs="仿宋_GB2312" w:eastAsia="仿宋_GB2312"/>
                <w:sz w:val="24"/>
              </w:rPr>
              <w:t>(1)</w:t>
            </w:r>
            <w:r>
              <w:rPr>
                <w:rFonts w:ascii="仿宋_GB2312" w:hAnsi="仿宋_GB2312" w:cs="仿宋_GB2312" w:eastAsia="仿宋_GB2312"/>
                <w:sz w:val="24"/>
              </w:rPr>
              <w:t>《大气污染物综合排放标准》（</w:t>
            </w:r>
            <w:r>
              <w:rPr>
                <w:rFonts w:ascii="仿宋_GB2312" w:hAnsi="仿宋_GB2312" w:cs="仿宋_GB2312" w:eastAsia="仿宋_GB2312"/>
                <w:sz w:val="24"/>
              </w:rPr>
              <w:t>GB 16297-1996）；</w:t>
            </w:r>
          </w:p>
          <w:p>
            <w:pPr>
              <w:pStyle w:val="null3"/>
              <w:ind w:left="435"/>
            </w:pPr>
            <w:r>
              <w:rPr>
                <w:rFonts w:ascii="仿宋_GB2312" w:hAnsi="仿宋_GB2312" w:cs="仿宋_GB2312" w:eastAsia="仿宋_GB2312"/>
                <w:sz w:val="24"/>
              </w:rPr>
              <w:t>(2)</w:t>
            </w:r>
            <w:r>
              <w:rPr>
                <w:rFonts w:ascii="仿宋_GB2312" w:hAnsi="仿宋_GB2312" w:cs="仿宋_GB2312" w:eastAsia="仿宋_GB2312"/>
                <w:sz w:val="24"/>
              </w:rPr>
              <w:t>《锅炉大气污染物排放标准》（</w:t>
            </w:r>
            <w:r>
              <w:rPr>
                <w:rFonts w:ascii="仿宋_GB2312" w:hAnsi="仿宋_GB2312" w:cs="仿宋_GB2312" w:eastAsia="仿宋_GB2312"/>
                <w:sz w:val="24"/>
              </w:rPr>
              <w:t>DB 61/ 1226-2018）</w:t>
            </w:r>
            <w:r>
              <w:rPr>
                <w:rFonts w:ascii="仿宋_GB2312" w:hAnsi="仿宋_GB2312" w:cs="仿宋_GB2312" w:eastAsia="仿宋_GB2312"/>
                <w:sz w:val="24"/>
              </w:rPr>
              <w:t>；</w:t>
            </w:r>
          </w:p>
          <w:p>
            <w:pPr>
              <w:pStyle w:val="null3"/>
              <w:ind w:left="435"/>
            </w:pPr>
            <w:r>
              <w:rPr>
                <w:rFonts w:ascii="仿宋_GB2312" w:hAnsi="仿宋_GB2312" w:cs="仿宋_GB2312" w:eastAsia="仿宋_GB2312"/>
                <w:sz w:val="24"/>
              </w:rPr>
              <w:t>(3)</w:t>
            </w:r>
            <w:r>
              <w:rPr>
                <w:rFonts w:ascii="仿宋_GB2312" w:hAnsi="仿宋_GB2312" w:cs="仿宋_GB2312" w:eastAsia="仿宋_GB2312"/>
                <w:sz w:val="24"/>
              </w:rPr>
              <w:t>《工业炉窑大气污染物排放标准》（</w:t>
            </w:r>
            <w:r>
              <w:rPr>
                <w:rFonts w:ascii="仿宋_GB2312" w:hAnsi="仿宋_GB2312" w:cs="仿宋_GB2312" w:eastAsia="仿宋_GB2312"/>
                <w:sz w:val="24"/>
              </w:rPr>
              <w:t>GB</w:t>
            </w:r>
            <w:r>
              <w:rPr>
                <w:rFonts w:ascii="仿宋_GB2312" w:hAnsi="仿宋_GB2312" w:cs="仿宋_GB2312" w:eastAsia="仿宋_GB2312"/>
                <w:sz w:val="24"/>
              </w:rPr>
              <w:t xml:space="preserve"> </w:t>
            </w:r>
            <w:r>
              <w:rPr>
                <w:rFonts w:ascii="仿宋_GB2312" w:hAnsi="仿宋_GB2312" w:cs="仿宋_GB2312" w:eastAsia="仿宋_GB2312"/>
                <w:sz w:val="24"/>
              </w:rPr>
              <w:t>9078-1996）；</w:t>
            </w:r>
          </w:p>
          <w:p>
            <w:pPr>
              <w:pStyle w:val="null3"/>
              <w:ind w:left="435"/>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橡胶制品工业污染物排放标准》（</w:t>
            </w:r>
            <w:r>
              <w:rPr>
                <w:rFonts w:ascii="仿宋_GB2312" w:hAnsi="仿宋_GB2312" w:cs="仿宋_GB2312" w:eastAsia="仿宋_GB2312"/>
                <w:sz w:val="24"/>
              </w:rPr>
              <w:t>GB 27632-2011）；</w:t>
            </w:r>
          </w:p>
          <w:p>
            <w:pPr>
              <w:pStyle w:val="null3"/>
              <w:ind w:left="435"/>
            </w:pPr>
            <w:r>
              <w:rPr>
                <w:rFonts w:ascii="仿宋_GB2312" w:hAnsi="仿宋_GB2312" w:cs="仿宋_GB2312" w:eastAsia="仿宋_GB2312"/>
                <w:sz w:val="24"/>
              </w:rPr>
              <w:t>(5)</w:t>
            </w:r>
            <w:r>
              <w:rPr>
                <w:rFonts w:ascii="仿宋_GB2312" w:hAnsi="仿宋_GB2312" w:cs="仿宋_GB2312" w:eastAsia="仿宋_GB2312"/>
                <w:sz w:val="24"/>
              </w:rPr>
              <w:t>《涂料、油墨及胶粘剂工业大气污染物排放标（</w:t>
            </w:r>
            <w:r>
              <w:rPr>
                <w:rFonts w:ascii="仿宋_GB2312" w:hAnsi="仿宋_GB2312" w:cs="仿宋_GB2312" w:eastAsia="仿宋_GB2312"/>
                <w:sz w:val="24"/>
              </w:rPr>
              <w:t>GB37824-2019）；</w:t>
            </w:r>
          </w:p>
          <w:p>
            <w:pPr>
              <w:pStyle w:val="null3"/>
              <w:ind w:firstLine="400"/>
            </w:pPr>
            <w:r>
              <w:rPr>
                <w:rFonts w:ascii="仿宋_GB2312" w:hAnsi="仿宋_GB2312" w:cs="仿宋_GB2312" w:eastAsia="仿宋_GB2312"/>
                <w:sz w:val="24"/>
              </w:rPr>
              <w:t>2、VOC企业</w:t>
            </w:r>
            <w:r>
              <w:rPr>
                <w:rFonts w:ascii="仿宋_GB2312" w:hAnsi="仿宋_GB2312" w:cs="仿宋_GB2312" w:eastAsia="仿宋_GB2312"/>
                <w:sz w:val="24"/>
              </w:rPr>
              <w:t>依据</w:t>
            </w:r>
            <w:r>
              <w:rPr>
                <w:rFonts w:ascii="仿宋_GB2312" w:hAnsi="仿宋_GB2312" w:cs="仿宋_GB2312" w:eastAsia="仿宋_GB2312"/>
                <w:sz w:val="24"/>
              </w:rPr>
              <w:t>以下标准监测因子总烃、甲烷、非甲烷总烃、苯、甲苯、二甲苯：</w:t>
            </w:r>
          </w:p>
          <w:p>
            <w:pPr>
              <w:pStyle w:val="null3"/>
              <w:ind w:left="435"/>
            </w:pPr>
            <w:r>
              <w:rPr>
                <w:rFonts w:ascii="仿宋_GB2312" w:hAnsi="仿宋_GB2312" w:cs="仿宋_GB2312" w:eastAsia="仿宋_GB2312"/>
                <w:sz w:val="24"/>
              </w:rPr>
              <w:t>(1)</w:t>
            </w:r>
            <w:r>
              <w:rPr>
                <w:rFonts w:ascii="仿宋_GB2312" w:hAnsi="仿宋_GB2312" w:cs="仿宋_GB2312" w:eastAsia="仿宋_GB2312"/>
                <w:sz w:val="24"/>
              </w:rPr>
              <w:t>《挥发性有机物排放控制标准》（</w:t>
            </w:r>
            <w:r>
              <w:rPr>
                <w:rFonts w:ascii="仿宋_GB2312" w:hAnsi="仿宋_GB2312" w:cs="仿宋_GB2312" w:eastAsia="仿宋_GB2312"/>
                <w:sz w:val="24"/>
              </w:rPr>
              <w:t>DB61/T 1061-2017）；</w:t>
            </w:r>
          </w:p>
          <w:p>
            <w:pPr>
              <w:pStyle w:val="null3"/>
              <w:ind w:left="435"/>
            </w:pPr>
            <w:r>
              <w:rPr>
                <w:rFonts w:ascii="仿宋_GB2312" w:hAnsi="仿宋_GB2312" w:cs="仿宋_GB2312" w:eastAsia="仿宋_GB2312"/>
                <w:sz w:val="24"/>
              </w:rPr>
              <w:t>(2)</w:t>
            </w:r>
            <w:r>
              <w:rPr>
                <w:rFonts w:ascii="仿宋_GB2312" w:hAnsi="仿宋_GB2312" w:cs="仿宋_GB2312" w:eastAsia="仿宋_GB2312"/>
                <w:sz w:val="24"/>
              </w:rPr>
              <w:t>《挥发性有机物无组织排放控制标准》</w:t>
            </w:r>
            <w:r>
              <w:rPr>
                <w:rFonts w:ascii="仿宋_GB2312" w:hAnsi="仿宋_GB2312" w:cs="仿宋_GB2312" w:eastAsia="仿宋_GB2312"/>
                <w:sz w:val="24"/>
              </w:rPr>
              <w:t>(GB 37822-2019)</w:t>
            </w:r>
            <w:r>
              <w:rPr>
                <w:rFonts w:ascii="仿宋_GB2312" w:hAnsi="仿宋_GB2312" w:cs="仿宋_GB2312" w:eastAsia="仿宋_GB2312"/>
                <w:sz w:val="24"/>
              </w:rPr>
              <w:t>；</w:t>
            </w:r>
          </w:p>
          <w:p>
            <w:pPr>
              <w:pStyle w:val="null3"/>
              <w:ind w:left="435"/>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橡胶制品工业污染物排放标准》（</w:t>
            </w:r>
            <w:r>
              <w:rPr>
                <w:rFonts w:ascii="仿宋_GB2312" w:hAnsi="仿宋_GB2312" w:cs="仿宋_GB2312" w:eastAsia="仿宋_GB2312"/>
                <w:sz w:val="24"/>
              </w:rPr>
              <w:t>GB 27632-2011）；</w:t>
            </w:r>
          </w:p>
          <w:p>
            <w:pPr>
              <w:pStyle w:val="null3"/>
              <w:ind w:left="435"/>
            </w:pPr>
            <w:r>
              <w:rPr>
                <w:rFonts w:ascii="仿宋_GB2312" w:hAnsi="仿宋_GB2312" w:cs="仿宋_GB2312" w:eastAsia="仿宋_GB2312"/>
                <w:sz w:val="24"/>
              </w:rPr>
              <w:t>(4)</w:t>
            </w:r>
            <w:r>
              <w:rPr>
                <w:rFonts w:ascii="仿宋_GB2312" w:hAnsi="仿宋_GB2312" w:cs="仿宋_GB2312" w:eastAsia="仿宋_GB2312"/>
                <w:sz w:val="24"/>
              </w:rPr>
              <w:t>《涂料、油墨及胶粘剂工业大气污染物排放标准》（</w:t>
            </w:r>
            <w:r>
              <w:rPr>
                <w:rFonts w:ascii="仿宋_GB2312" w:hAnsi="仿宋_GB2312" w:cs="仿宋_GB2312" w:eastAsia="仿宋_GB2312"/>
                <w:sz w:val="24"/>
              </w:rPr>
              <w:t>GB37824-2019）；</w:t>
            </w:r>
          </w:p>
          <w:p>
            <w:pPr>
              <w:pStyle w:val="null3"/>
              <w:ind w:firstLine="400"/>
            </w:pPr>
            <w:r>
              <w:rPr>
                <w:rFonts w:ascii="仿宋_GB2312" w:hAnsi="仿宋_GB2312" w:cs="仿宋_GB2312" w:eastAsia="仿宋_GB2312"/>
                <w:sz w:val="24"/>
              </w:rPr>
              <w:t>3</w:t>
            </w:r>
            <w:r>
              <w:rPr>
                <w:rFonts w:ascii="仿宋_GB2312" w:hAnsi="仿宋_GB2312" w:cs="仿宋_GB2312" w:eastAsia="仿宋_GB2312"/>
                <w:sz w:val="24"/>
              </w:rPr>
              <w:t>、监测项目不限于以上因子，具体以现场执法实际情况要求为准。</w:t>
            </w:r>
          </w:p>
          <w:p>
            <w:pPr>
              <w:pStyle w:val="null3"/>
            </w:pPr>
            <w:r>
              <w:rPr>
                <w:rFonts w:ascii="仿宋_GB2312" w:hAnsi="仿宋_GB2312" w:cs="仿宋_GB2312" w:eastAsia="仿宋_GB2312"/>
                <w:sz w:val="24"/>
                <w:b/>
              </w:rPr>
              <w:t>三、监测内容</w:t>
            </w:r>
            <w:r>
              <w:br/>
            </w:r>
            <w:r>
              <w:rPr>
                <w:rFonts w:ascii="仿宋_GB2312" w:hAnsi="仿宋_GB2312" w:cs="仿宋_GB2312" w:eastAsia="仿宋_GB2312"/>
                <w:sz w:val="24"/>
              </w:rPr>
              <w:t>1、</w:t>
            </w:r>
            <w:r>
              <w:rPr>
                <w:rFonts w:ascii="仿宋_GB2312" w:hAnsi="仿宋_GB2312" w:cs="仿宋_GB2312" w:eastAsia="仿宋_GB2312"/>
                <w:sz w:val="24"/>
              </w:rPr>
              <w:t>脱硫、脱硝、除尘企业</w:t>
            </w:r>
            <w:r>
              <w:rPr>
                <w:rFonts w:ascii="仿宋_GB2312" w:hAnsi="仿宋_GB2312" w:cs="仿宋_GB2312" w:eastAsia="仿宋_GB2312"/>
                <w:sz w:val="24"/>
              </w:rPr>
              <w:t>监测</w:t>
            </w:r>
          </w:p>
          <w:tbl>
            <w:tblPr>
              <w:tblInd w:type="dxa" w:w="120"/>
              <w:tblBorders>
                <w:top w:val="none" w:color="000000" w:sz="4"/>
                <w:left w:val="none" w:color="000000" w:sz="4"/>
                <w:bottom w:val="none" w:color="000000" w:sz="4"/>
                <w:right w:val="none" w:color="000000" w:sz="4"/>
                <w:insideH w:val="none"/>
                <w:insideV w:val="none"/>
              </w:tblBorders>
            </w:tblPr>
            <w:tblGrid>
              <w:gridCol w:w="707"/>
              <w:gridCol w:w="945"/>
              <w:gridCol w:w="2167"/>
            </w:tblGrid>
            <w:tr>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监测类别</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监测因子</w:t>
                  </w:r>
                </w:p>
              </w:tc>
              <w:tc>
                <w:tcPr>
                  <w:tcW w:type="dxa" w:w="2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分析方法</w:t>
                  </w: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废气</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二氧化硫的测定</w:t>
                  </w:r>
                  <w:r>
                    <w:rPr>
                      <w:rFonts w:ascii="仿宋_GB2312" w:hAnsi="仿宋_GB2312" w:cs="仿宋_GB2312" w:eastAsia="仿宋_GB2312"/>
                      <w:sz w:val="24"/>
                    </w:rPr>
                    <w:t>定电位电解法</w:t>
                  </w:r>
                </w:p>
                <w:p>
                  <w:pPr>
                    <w:pStyle w:val="null3"/>
                    <w:jc w:val="center"/>
                  </w:pPr>
                  <w:r>
                    <w:rPr>
                      <w:rFonts w:ascii="仿宋_GB2312" w:hAnsi="仿宋_GB2312" w:cs="仿宋_GB2312" w:eastAsia="仿宋_GB2312"/>
                      <w:sz w:val="24"/>
                    </w:rPr>
                    <w:t>HJ 57-2017</w:t>
                  </w:r>
                </w:p>
              </w:tc>
            </w:tr>
            <w:tr>
              <w:tc>
                <w:tcPr>
                  <w:tcW w:type="dxa" w:w="707"/>
                  <w:vMerge/>
                  <w:tcBorders>
                    <w:top w:val="none" w:color="000000" w:sz="4"/>
                    <w:left w:val="singl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氮氧化物</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氮氧化物的测定</w:t>
                  </w:r>
                  <w:r>
                    <w:rPr>
                      <w:rFonts w:ascii="仿宋_GB2312" w:hAnsi="仿宋_GB2312" w:cs="仿宋_GB2312" w:eastAsia="仿宋_GB2312"/>
                      <w:sz w:val="24"/>
                    </w:rPr>
                    <w:t>定电位电解法</w:t>
                  </w:r>
                </w:p>
                <w:p>
                  <w:pPr>
                    <w:pStyle w:val="null3"/>
                    <w:jc w:val="center"/>
                  </w:pPr>
                  <w:r>
                    <w:rPr>
                      <w:rFonts w:ascii="仿宋_GB2312" w:hAnsi="仿宋_GB2312" w:cs="仿宋_GB2312" w:eastAsia="仿宋_GB2312"/>
                      <w:sz w:val="24"/>
                    </w:rPr>
                    <w:t>HJ 693-2014</w:t>
                  </w:r>
                </w:p>
              </w:tc>
            </w:tr>
            <w:tr>
              <w:tc>
                <w:tcPr>
                  <w:tcW w:type="dxa" w:w="707"/>
                  <w:vMerge/>
                  <w:tcBorders>
                    <w:top w:val="none" w:color="000000" w:sz="4"/>
                    <w:left w:val="singl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烟（粉）尘颗粒物</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固定污染源排气中颗粒物测定与气态污染物采样方法</w:t>
                  </w:r>
                  <w:r>
                    <w:rPr>
                      <w:rFonts w:ascii="仿宋_GB2312" w:hAnsi="仿宋_GB2312" w:cs="仿宋_GB2312" w:eastAsia="仿宋_GB2312"/>
                      <w:sz w:val="24"/>
                    </w:rPr>
                    <w:t>GB/T 16157-1996</w:t>
                  </w:r>
                </w:p>
              </w:tc>
            </w:tr>
            <w:tr>
              <w:tc>
                <w:tcPr>
                  <w:tcW w:type="dxa" w:w="707"/>
                  <w:vMerge/>
                  <w:tcBorders>
                    <w:top w:val="none" w:color="000000" w:sz="4"/>
                    <w:left w:val="single" w:color="000000" w:sz="4"/>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低浓度颗粒物</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低浓度颗粒物的测定</w:t>
                  </w:r>
                  <w:r>
                    <w:rPr>
                      <w:rFonts w:ascii="仿宋_GB2312" w:hAnsi="仿宋_GB2312" w:cs="仿宋_GB2312" w:eastAsia="仿宋_GB2312"/>
                      <w:sz w:val="24"/>
                    </w:rPr>
                    <w:t>重量法</w:t>
                  </w:r>
                </w:p>
                <w:p>
                  <w:pPr>
                    <w:pStyle w:val="null3"/>
                    <w:jc w:val="center"/>
                  </w:pPr>
                  <w:r>
                    <w:rPr>
                      <w:rFonts w:ascii="仿宋_GB2312" w:hAnsi="仿宋_GB2312" w:cs="仿宋_GB2312" w:eastAsia="仿宋_GB2312"/>
                      <w:sz w:val="24"/>
                    </w:rPr>
                    <w:t>HJ 836-2017</w:t>
                  </w:r>
                </w:p>
              </w:tc>
            </w:tr>
          </w:tbl>
          <w:p>
            <w:pPr>
              <w:pStyle w:val="null3"/>
            </w:pPr>
            <w:r>
              <w:rPr>
                <w:rFonts w:ascii="仿宋_GB2312" w:hAnsi="仿宋_GB2312" w:cs="仿宋_GB2312" w:eastAsia="仿宋_GB2312"/>
                <w:sz w:val="24"/>
              </w:rPr>
              <w:t>2、VOC企业监测</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642"/>
              <w:gridCol w:w="140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监测类别</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监测因子</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分析方法</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废</w:t>
                  </w:r>
                  <w:r>
                    <w:rPr>
                      <w:rFonts w:ascii="仿宋_GB2312" w:hAnsi="仿宋_GB2312" w:cs="仿宋_GB2312" w:eastAsia="仿宋_GB2312"/>
                      <w:sz w:val="24"/>
                    </w:rPr>
                    <w:t>气</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总烃</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总烃、甲烷和非甲烷总烃的测定气相色谱法</w:t>
                  </w:r>
                </w:p>
                <w:p>
                  <w:pPr>
                    <w:pStyle w:val="null3"/>
                    <w:jc w:val="center"/>
                  </w:pPr>
                  <w:r>
                    <w:rPr>
                      <w:rFonts w:ascii="仿宋_GB2312" w:hAnsi="仿宋_GB2312" w:cs="仿宋_GB2312" w:eastAsia="仿宋_GB2312"/>
                      <w:sz w:val="24"/>
                    </w:rPr>
                    <w:t>HJ 38-2017</w:t>
                  </w:r>
                </w:p>
              </w:tc>
            </w:tr>
            <w:tr>
              <w:tc>
                <w:tcPr>
                  <w:tcW w:type="dxa" w:w="51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甲烷</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总烃、甲烷和非甲烷总烃的测定气相色谱法</w:t>
                  </w:r>
                </w:p>
                <w:p>
                  <w:pPr>
                    <w:pStyle w:val="null3"/>
                    <w:jc w:val="center"/>
                  </w:pPr>
                  <w:r>
                    <w:rPr>
                      <w:rFonts w:ascii="仿宋_GB2312" w:hAnsi="仿宋_GB2312" w:cs="仿宋_GB2312" w:eastAsia="仿宋_GB2312"/>
                      <w:sz w:val="24"/>
                    </w:rPr>
                    <w:t>HJ 38-2017</w:t>
                  </w:r>
                </w:p>
              </w:tc>
            </w:tr>
            <w:tr>
              <w:tc>
                <w:tcPr>
                  <w:tcW w:type="dxa" w:w="51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非甲烷总烃</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固定污染源废气</w:t>
                  </w:r>
                  <w:r>
                    <w:rPr>
                      <w:rFonts w:ascii="仿宋_GB2312" w:hAnsi="仿宋_GB2312" w:cs="仿宋_GB2312" w:eastAsia="仿宋_GB2312"/>
                      <w:sz w:val="24"/>
                    </w:rPr>
                    <w:t>总烃、甲烷和非甲烷总烃的测定气相色谱法</w:t>
                  </w:r>
                </w:p>
                <w:p>
                  <w:pPr>
                    <w:pStyle w:val="null3"/>
                    <w:jc w:val="center"/>
                  </w:pPr>
                  <w:r>
                    <w:rPr>
                      <w:rFonts w:ascii="仿宋_GB2312" w:hAnsi="仿宋_GB2312" w:cs="仿宋_GB2312" w:eastAsia="仿宋_GB2312"/>
                      <w:sz w:val="24"/>
                    </w:rPr>
                    <w:t>HJ 38-2017</w:t>
                  </w:r>
                </w:p>
              </w:tc>
            </w:tr>
            <w:tr>
              <w:tc>
                <w:tcPr>
                  <w:tcW w:type="dxa" w:w="51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苯</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苯系物的测定</w:t>
                  </w:r>
                  <w:r>
                    <w:rPr>
                      <w:rFonts w:ascii="仿宋_GB2312" w:hAnsi="仿宋_GB2312" w:cs="仿宋_GB2312" w:eastAsia="仿宋_GB2312"/>
                      <w:sz w:val="24"/>
                    </w:rPr>
                    <w:t>活性炭吸附</w:t>
                  </w:r>
                  <w:r>
                    <w:rPr>
                      <w:rFonts w:ascii="仿宋_GB2312" w:hAnsi="仿宋_GB2312" w:cs="仿宋_GB2312" w:eastAsia="仿宋_GB2312"/>
                      <w:sz w:val="24"/>
                    </w:rPr>
                    <w:t>/二硫化碳解吸-气相色谱法</w:t>
                  </w:r>
                </w:p>
                <w:p>
                  <w:pPr>
                    <w:pStyle w:val="null3"/>
                    <w:jc w:val="center"/>
                  </w:pPr>
                  <w:r>
                    <w:rPr>
                      <w:rFonts w:ascii="仿宋_GB2312" w:hAnsi="仿宋_GB2312" w:cs="仿宋_GB2312" w:eastAsia="仿宋_GB2312"/>
                      <w:sz w:val="24"/>
                    </w:rPr>
                    <w:t>HJ 584-2010</w:t>
                  </w:r>
                </w:p>
              </w:tc>
            </w:tr>
            <w:tr>
              <w:tc>
                <w:tcPr>
                  <w:tcW w:type="dxa" w:w="51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甲苯</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苯系物的测定</w:t>
                  </w:r>
                  <w:r>
                    <w:rPr>
                      <w:rFonts w:ascii="仿宋_GB2312" w:hAnsi="仿宋_GB2312" w:cs="仿宋_GB2312" w:eastAsia="仿宋_GB2312"/>
                      <w:sz w:val="24"/>
                    </w:rPr>
                    <w:t>活性炭吸附</w:t>
                  </w:r>
                  <w:r>
                    <w:rPr>
                      <w:rFonts w:ascii="仿宋_GB2312" w:hAnsi="仿宋_GB2312" w:cs="仿宋_GB2312" w:eastAsia="仿宋_GB2312"/>
                      <w:sz w:val="24"/>
                    </w:rPr>
                    <w:t>/二硫化碳解吸-气相色谱法</w:t>
                  </w:r>
                </w:p>
                <w:p>
                  <w:pPr>
                    <w:pStyle w:val="null3"/>
                    <w:jc w:val="center"/>
                  </w:pPr>
                  <w:r>
                    <w:rPr>
                      <w:rFonts w:ascii="仿宋_GB2312" w:hAnsi="仿宋_GB2312" w:cs="仿宋_GB2312" w:eastAsia="仿宋_GB2312"/>
                      <w:sz w:val="24"/>
                    </w:rPr>
                    <w:t>HJ 584-2010</w:t>
                  </w:r>
                </w:p>
              </w:tc>
            </w:tr>
            <w:tr>
              <w:tc>
                <w:tcPr>
                  <w:tcW w:type="dxa" w:w="511"/>
                  <w:vMerge/>
                  <w:tcBorders>
                    <w:top w:val="none" w:color="000000" w:sz="4"/>
                    <w:left w:val="singl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二甲苯</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环境空气</w:t>
                  </w:r>
                  <w:r>
                    <w:rPr>
                      <w:rFonts w:ascii="仿宋_GB2312" w:hAnsi="仿宋_GB2312" w:cs="仿宋_GB2312" w:eastAsia="仿宋_GB2312"/>
                      <w:sz w:val="24"/>
                    </w:rPr>
                    <w:t>苯系物的测定</w:t>
                  </w:r>
                  <w:r>
                    <w:rPr>
                      <w:rFonts w:ascii="仿宋_GB2312" w:hAnsi="仿宋_GB2312" w:cs="仿宋_GB2312" w:eastAsia="仿宋_GB2312"/>
                      <w:sz w:val="24"/>
                    </w:rPr>
                    <w:t>活性炭吸附</w:t>
                  </w:r>
                  <w:r>
                    <w:rPr>
                      <w:rFonts w:ascii="仿宋_GB2312" w:hAnsi="仿宋_GB2312" w:cs="仿宋_GB2312" w:eastAsia="仿宋_GB2312"/>
                      <w:sz w:val="24"/>
                    </w:rPr>
                    <w:t>/二硫化碳解吸-气相色谱法</w:t>
                  </w:r>
                </w:p>
                <w:p>
                  <w:pPr>
                    <w:pStyle w:val="null3"/>
                    <w:jc w:val="center"/>
                  </w:pPr>
                  <w:r>
                    <w:rPr>
                      <w:rFonts w:ascii="仿宋_GB2312" w:hAnsi="仿宋_GB2312" w:cs="仿宋_GB2312" w:eastAsia="仿宋_GB2312"/>
                      <w:sz w:val="24"/>
                    </w:rPr>
                    <w:t>HJ 584-2010</w:t>
                  </w:r>
                </w:p>
              </w:tc>
            </w:tr>
          </w:tbl>
          <w:p>
            <w:pPr>
              <w:pStyle w:val="null3"/>
            </w:pPr>
            <w:r>
              <w:rPr>
                <w:rFonts w:ascii="仿宋_GB2312" w:hAnsi="仿宋_GB2312" w:cs="仿宋_GB2312" w:eastAsia="仿宋_GB2312"/>
                <w:sz w:val="24"/>
                <w:b/>
              </w:rPr>
              <w:t>四、服务要求</w:t>
            </w:r>
          </w:p>
          <w:p>
            <w:pPr>
              <w:pStyle w:val="null3"/>
              <w:ind w:firstLine="402"/>
            </w:pPr>
            <w:r>
              <w:rPr>
                <w:rFonts w:ascii="仿宋_GB2312" w:hAnsi="仿宋_GB2312" w:cs="仿宋_GB2312" w:eastAsia="仿宋_GB2312"/>
                <w:sz w:val="24"/>
                <w:b/>
              </w:rPr>
              <w:t>1、人员要求</w:t>
            </w:r>
          </w:p>
          <w:p>
            <w:pPr>
              <w:pStyle w:val="null3"/>
              <w:ind w:firstLine="400"/>
            </w:pPr>
            <w:r>
              <w:rPr>
                <w:rFonts w:ascii="仿宋_GB2312" w:hAnsi="仿宋_GB2312" w:cs="仿宋_GB2312" w:eastAsia="仿宋_GB2312"/>
                <w:sz w:val="24"/>
              </w:rPr>
              <w:t>供应商应提供拟投入本项目团队服务人员</w:t>
            </w:r>
            <w:r>
              <w:rPr>
                <w:rFonts w:ascii="仿宋_GB2312" w:hAnsi="仿宋_GB2312" w:cs="仿宋_GB2312" w:eastAsia="仿宋_GB2312"/>
                <w:sz w:val="24"/>
              </w:rPr>
              <w:t>不少于</w:t>
            </w:r>
            <w:r>
              <w:rPr>
                <w:rFonts w:ascii="仿宋_GB2312" w:hAnsi="仿宋_GB2312" w:cs="仿宋_GB2312" w:eastAsia="仿宋_GB2312"/>
                <w:sz w:val="24"/>
              </w:rPr>
              <w:t>5人，</w:t>
            </w:r>
            <w:r>
              <w:rPr>
                <w:rFonts w:ascii="仿宋_GB2312" w:hAnsi="仿宋_GB2312" w:cs="仿宋_GB2312" w:eastAsia="仿宋_GB2312"/>
                <w:sz w:val="24"/>
              </w:rPr>
              <w:t>能够满足本项目技术服务要求</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人员应是供应商在职人员。</w:t>
            </w:r>
          </w:p>
          <w:p>
            <w:pPr>
              <w:pStyle w:val="null3"/>
              <w:ind w:firstLine="402"/>
            </w:pPr>
            <w:r>
              <w:rPr>
                <w:rFonts w:ascii="仿宋_GB2312" w:hAnsi="仿宋_GB2312" w:cs="仿宋_GB2312" w:eastAsia="仿宋_GB2312"/>
                <w:sz w:val="24"/>
                <w:b/>
              </w:rPr>
              <w:t>2、设施设备要求</w:t>
            </w:r>
          </w:p>
          <w:p>
            <w:pPr>
              <w:pStyle w:val="null3"/>
              <w:ind w:firstLine="400"/>
            </w:pPr>
            <w:r>
              <w:rPr>
                <w:rFonts w:ascii="仿宋_GB2312" w:hAnsi="仿宋_GB2312" w:cs="仿宋_GB2312" w:eastAsia="仿宋_GB2312"/>
                <w:sz w:val="24"/>
              </w:rPr>
              <w:t>供应商有完成本项目服务所需的专用设备，提供主要设备清单及相关证明材料，所提供设备能够满足本项目服务需求。</w:t>
            </w:r>
          </w:p>
          <w:p>
            <w:pPr>
              <w:pStyle w:val="null3"/>
              <w:ind w:firstLine="400"/>
            </w:pPr>
            <w:r>
              <w:rPr>
                <w:rFonts w:ascii="仿宋_GB2312" w:hAnsi="仿宋_GB2312" w:cs="仿宋_GB2312" w:eastAsia="仿宋_GB2312"/>
                <w:sz w:val="24"/>
                <w:b/>
              </w:rPr>
              <w:t>3、服务要求</w:t>
            </w:r>
          </w:p>
          <w:p>
            <w:pPr>
              <w:pStyle w:val="null3"/>
              <w:ind w:firstLine="400"/>
            </w:pPr>
            <w:r>
              <w:rPr>
                <w:rFonts w:ascii="仿宋_GB2312" w:hAnsi="仿宋_GB2312" w:cs="仿宋_GB2312" w:eastAsia="仿宋_GB2312"/>
                <w:sz w:val="24"/>
              </w:rPr>
              <w:t>提供</w:t>
            </w:r>
            <w:r>
              <w:rPr>
                <w:rFonts w:ascii="仿宋_GB2312" w:hAnsi="仿宋_GB2312" w:cs="仿宋_GB2312" w:eastAsia="仿宋_GB2312"/>
                <w:sz w:val="24"/>
              </w:rPr>
              <w:t>7*24电话售后服务支持；突发事件，12小时内到达现场解决问题。</w:t>
            </w:r>
          </w:p>
          <w:p>
            <w:pPr>
              <w:pStyle w:val="null3"/>
              <w:ind w:firstLine="402"/>
            </w:pPr>
            <w:r>
              <w:rPr>
                <w:rFonts w:ascii="仿宋_GB2312" w:hAnsi="仿宋_GB2312" w:cs="仿宋_GB2312" w:eastAsia="仿宋_GB2312"/>
                <w:sz w:val="24"/>
                <w:b/>
              </w:rPr>
              <w:t>4、项目成果及要求</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1）原始检验记录；</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2）协助采购方做好各类检查报告、技术总结报告、数据处理分析及其他相关资料汇总；</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 xml:space="preserve">3）项目实施完成后，提交的成果及项目实施情况经采购方确认后，并提交甲方验收。  </w:t>
            </w:r>
            <w:r>
              <w:br/>
            </w:r>
            <w:r>
              <w:rPr>
                <w:rFonts w:ascii="仿宋_GB2312" w:hAnsi="仿宋_GB2312" w:cs="仿宋_GB2312" w:eastAsia="仿宋_GB2312"/>
                <w:sz w:val="24"/>
              </w:rPr>
              <w:t xml:space="preserve">     </w:t>
            </w:r>
            <w:r>
              <w:rPr>
                <w:rFonts w:ascii="仿宋_GB2312" w:hAnsi="仿宋_GB2312" w:cs="仿宋_GB2312" w:eastAsia="仿宋_GB2312"/>
                <w:sz w:val="24"/>
                <w:b/>
              </w:rPr>
              <w:t>5、质量保障</w:t>
            </w:r>
          </w:p>
          <w:p>
            <w:pPr>
              <w:pStyle w:val="null3"/>
              <w:ind w:firstLine="400"/>
            </w:pPr>
            <w:r>
              <w:rPr>
                <w:rFonts w:ascii="仿宋_GB2312" w:hAnsi="仿宋_GB2312" w:cs="仿宋_GB2312" w:eastAsia="仿宋_GB2312"/>
                <w:sz w:val="24"/>
              </w:rPr>
              <w:t>供应商应建立完善的质量控制体系，确保服务过程和成果符合国家、陕西省及行业相关规定，且内容真实、准确、完整。</w:t>
            </w:r>
          </w:p>
          <w:p>
            <w:pPr>
              <w:pStyle w:val="null3"/>
              <w:ind w:firstLine="402"/>
            </w:pPr>
            <w:r>
              <w:rPr>
                <w:rFonts w:ascii="仿宋_GB2312" w:hAnsi="仿宋_GB2312" w:cs="仿宋_GB2312" w:eastAsia="仿宋_GB2312"/>
                <w:sz w:val="24"/>
                <w:b/>
              </w:rPr>
              <w:t>6、售后服务要求</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1）供应商应制定合理可行的售后服务方案，通过优化组织程序，提高不可预见事件的处理效率、加强控制保障等多种手段，确保项目顺利进行。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2）响应时间：即时响应（包括电话响应）；电话响应无法解决48小时内到达现场；突发事件，12小时内到达现场解决问题，按照确定的解决方案，调配相应资源开展服务工作，严格把控服务质量与进度。</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3）供应商应为本项目配备相应的售后服务人员，建立技术服务体系和服务团队，具备良好的服务水平和应急处置能力，符合专业服务体系标准要求。</w:t>
            </w:r>
          </w:p>
          <w:p>
            <w:pPr>
              <w:pStyle w:val="null3"/>
              <w:ind w:left="405"/>
            </w:pPr>
            <w:r>
              <w:rPr>
                <w:rFonts w:ascii="仿宋_GB2312" w:hAnsi="仿宋_GB2312" w:cs="仿宋_GB2312" w:eastAsia="仿宋_GB2312"/>
                <w:sz w:val="24"/>
                <w:b/>
              </w:rPr>
              <w:t>五、需要由供应商提供的设计方案、解决方案或者组织方案</w:t>
            </w:r>
            <w:r>
              <w:br/>
            </w:r>
            <w:r>
              <w:rPr>
                <w:rFonts w:ascii="仿宋_GB2312" w:hAnsi="仿宋_GB2312" w:cs="仿宋_GB2312" w:eastAsia="仿宋_GB2312"/>
                <w:sz w:val="24"/>
              </w:rPr>
              <w:t>1、重点难点分析及解决方案</w:t>
            </w:r>
          </w:p>
          <w:p>
            <w:pPr>
              <w:pStyle w:val="null3"/>
              <w:ind w:firstLine="400"/>
            </w:pPr>
            <w:r>
              <w:rPr>
                <w:rFonts w:ascii="仿宋_GB2312" w:hAnsi="仿宋_GB2312" w:cs="仿宋_GB2312" w:eastAsia="仿宋_GB2312"/>
                <w:sz w:val="24"/>
              </w:rPr>
              <w:t>供应商应针对本项目实际情况结合过往经验分析并指出项目实施过程中潜在的困难点、风险点，并能够给出妥善的解决方案。</w:t>
            </w:r>
            <w:r>
              <w:rPr>
                <w:rFonts w:ascii="仿宋_GB2312" w:hAnsi="仿宋_GB2312" w:cs="仿宋_GB2312" w:eastAsia="仿宋_GB2312"/>
                <w:sz w:val="24"/>
              </w:rPr>
              <w:t xml:space="preserve">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供应商应提供满足本项目服务需求的人员配置，具体详见3.2.2服务要求。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供应商应提供满足本项目服务需求的设施设备，具体详见3.2.2服务要求。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验收标准：符合国家相关标准、行业验收标准及磋商文件要求。 根据成交人提供的项目检测报告及相关成果资料，由采购人自行组织验收。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合同签订后，乙方向甲方出具合同总金额5%的履约保函（基本户银行保函），并向甲方开具相应额度增值税发票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服务任务完成过半，乙方向甲方提供相应资料，提出付款申请，并向甲方开具剩余相应额度的增值税发票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供应商在保证金缴付过程中需备注xxxx项目（第X包）简称+保证金。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供应商应具备有效期内监督管理部门颁发的检验检测机构资质认定证书（CMA），且与本项目相适应的检测能力已包含在资质认定批准的能力范围内；</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w:t>
            </w:r>
          </w:p>
        </w:tc>
        <w:tc>
          <w:tcPr>
            <w:tcW w:type="dxa" w:w="1661"/>
          </w:tcPr>
          <w:p>
            <w:pPr>
              <w:pStyle w:val="null3"/>
            </w:pPr>
            <w:r>
              <w:rPr>
                <w:rFonts w:ascii="仿宋_GB2312" w:hAnsi="仿宋_GB2312" w:cs="仿宋_GB2312" w:eastAsia="仿宋_GB2312"/>
              </w:rPr>
              <w:t>5-保证金缴纳凭证.docx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根据供应商针对本项目实际情况提供重点难点分析及解决方案，至少应包括：①项目需求理解；②项目风险识别；③重点难点分析及解决方案； 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根据供应商针对本项目提供周密详细的服务方案，至少应包括：①服务流程、规范及标准；②采样管理；③数据管理；④服务优势或特色；⑤实施进度计划；⑥项目团队架构；⑦服务便利性。 包含但不限于上述全部内容，且方案详细，清晰有利于项目的得满分(如有缺陷或不足在此分数基础上进行扣分)，以上7项中：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根据供应商针对本项目提供完整详细的项目管理方案，至少应包括：①业务规范制度； ②数据质量保证措施；③服务质量保障措施；④质量管理体系建设及证明文件；⑤应急保障组织方案；⑥安全保密措施；⑦项目成果管理方案。 包含但不限于上述全部内容，且方案详细，清晰有利于项目的得满分(如有缺陷或不足在此分数基础上进行扣分)，以上7项中： （1）每有1项缺失或内容无法满足项目需求的扣3分； （2）有1项中内容存在缺陷或不足（是指内容方案缺少；对同一问题前后表述矛盾；存在逻辑漏洞、科学原理或常识错误；不利于本项目采购目标实现等任意一种情形）扣2分；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提供的售后服务方案，至少应包括：①售后服务标准、流程；②服务方式；③售后服务人员；④服务响应时间；包含但不限于上述全部内容，且方案详细，清晰有利于项目的得满分(如有缺陷或不足在此分数基础上进行扣分)，以上4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2.针对本项目服务工作中的常见质量和服务问题进行梳理，供应商可根据自身情况对服务标准、过程管理、后续服务、增值服务等方面作出有利于本项目开展的承诺，每提供1条有效承诺，得1分，最高得3分。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供应商拟投入本项目团队服务人员不少于5人，且提供项目团队人员配置清单或人员配置承诺函，满足得2分。 供应商仅提供团队人员配置承诺函的，本项最高得0.5分，满分2分。 注：响应文件应提供上述人员身份证、学历证、响应截止日前六个月任意一个月社保缴纳证明文件，未提供或提供不全不得分。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供应商提供拟投入本项目的主要设备采样器、检测仪等，自有购买设备每提供1台得2分；采用租赁方式提供，每提供一台得1分；本项最高得6分。 注：供应商提供自有设备来源证明材料或购买发票复印件加盖公章；若租赁，需提供租赁合同加盖公章，未提供或提供不全不得分。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供应商提供自2022年1月1日起至响应截止日期，承接的类似项目业绩（以合同签订日期为准），每份合格业绩合同计2.5分，满分15分； 备注：供应商需提供业绩合同证明材料（至少应包含内容关键页、签订日期与签章页），未提供或无法辨识的不得分。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详见附件：5-保证金缴纳凭证.docx</w:t>
      </w:r>
    </w:p>
    <w:p>
      <w:pPr>
        <w:pStyle w:val="null3"/>
        <w:ind w:firstLine="960"/>
      </w:pPr>
      <w:r>
        <w:rPr>
          <w:rFonts w:ascii="仿宋_GB2312" w:hAnsi="仿宋_GB2312" w:cs="仿宋_GB2312" w:eastAsia="仿宋_GB2312"/>
        </w:rPr>
        <w:t>详见附件：6-政府采购拒绝商业贿赂书.docx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