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版本号：陕融招字-2025-0605号20250701001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医院创建一级医院维修改造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陕融招字-2025-0605号</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陕西思迈融工程建设项目管理有限公司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陕西思迈融工程建设项目管理有限公司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医院创建一级医院维修改造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陕融招字-2025-0605号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医院创建一级医院维修改造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理工大学医院创建一级医院维修改造，工程内容为：1.建设门诊手术室；2.建设中医阁；3.完成检验科标准化建设；4.对西安理工大学医院一、二层楼陈旧环境和设施进行维修改造；5.负责建筑垃圾清运工程完工后开荒保洁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采购包1（医院创建一级医院维修改造）：属于专门面向中小企业采购。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1、营业执照等主体资格证明文件：提供合法有效的统一社会信用代码营业执照/事业单位法人证书/专业服务机构执业许可证/民办非企业单位登记证书。</w:t>
      </w:r>
    </w:p>
    <w:p>
      <w:pPr>
        <w:pStyle w:val="null3"/>
      </w:pPr>
      <w:r>
        <w:rPr>
          <w:rFonts w:ascii="仿宋_GB2312" w:hAnsi="仿宋_GB2312" w:cs="仿宋_GB2312" w:eastAsia="仿宋_GB2312"/>
        </w:rPr>
        <w:t>2、财务状况报告：提供2023年度或2024年度经审计的财务报告，包括 “四表一注”（即资产负债表、利润表、现金流量表、所有者权益变动表（没有可不提供）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3、社保缴纳证明：提供递交响应文件截止之日前一年内任意一个月的社会保障资金缴存单据或社保机构开具的社会保险参保缴费情况证明。依法不需要缴纳社会保障资金的投标供应商应提供相关文件证明。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响应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在递交响应文件截止时间前被“信用中国”网站（www.creditchina.gov.cn）和中国政府采购网（www.ccgp.gov.cn）列入失信被执行人、重大税收违法失信主体、政府采购严重违法失信行为记录名单的，不得参加投标。</w:t>
      </w:r>
    </w:p>
    <w:p>
      <w:pPr>
        <w:pStyle w:val="null3"/>
      </w:pPr>
      <w:r>
        <w:rPr>
          <w:rFonts w:ascii="仿宋_GB2312" w:hAnsi="仿宋_GB2312" w:cs="仿宋_GB2312" w:eastAsia="仿宋_GB2312"/>
        </w:rPr>
        <w:t>7、书面声明：提供书面声明，包括声明具有履行合同所必需的设备和专业技术能力。</w:t>
      </w:r>
    </w:p>
    <w:p>
      <w:pPr>
        <w:pStyle w:val="null3"/>
      </w:pPr>
      <w:r>
        <w:rPr>
          <w:rFonts w:ascii="仿宋_GB2312" w:hAnsi="仿宋_GB2312" w:cs="仿宋_GB2312" w:eastAsia="仿宋_GB2312"/>
        </w:rPr>
        <w:t>8、企业资质：供应商须具有具备建设行政主管部门核发的建筑工程施工总承包三级及以上资质；具有有效的安全生产许可证。</w:t>
      </w:r>
    </w:p>
    <w:p>
      <w:pPr>
        <w:pStyle w:val="null3"/>
      </w:pPr>
      <w:r>
        <w:rPr>
          <w:rFonts w:ascii="仿宋_GB2312" w:hAnsi="仿宋_GB2312" w:cs="仿宋_GB2312" w:eastAsia="仿宋_GB2312"/>
        </w:rPr>
        <w:t>9、拟派项目经理要求：项目经理需具有建筑工程专业二级及以上注册建造师执业资格，并具有合法有效的安全生产考核合格证（建安B证），须在本单位注册，无不良信用记录，无在建工程，提供承诺书。</w:t>
      </w:r>
    </w:p>
    <w:p>
      <w:pPr>
        <w:pStyle w:val="null3"/>
      </w:pPr>
      <w:r>
        <w:rPr>
          <w:rFonts w:ascii="仿宋_GB2312" w:hAnsi="仿宋_GB2312" w:cs="仿宋_GB2312" w:eastAsia="仿宋_GB2312"/>
        </w:rPr>
        <w:t>10、供应商及项目经理（建造师）的基本信息：须在 “全国建筑市场监管公共服务平台”（四库一平台）登记备案。</w:t>
      </w:r>
    </w:p>
    <w:p>
      <w:pPr>
        <w:pStyle w:val="null3"/>
      </w:pPr>
      <w:r>
        <w:rPr>
          <w:rFonts w:ascii="仿宋_GB2312" w:hAnsi="仿宋_GB2312" w:cs="仿宋_GB2312" w:eastAsia="仿宋_GB2312"/>
        </w:rPr>
        <w:t>11、法定代表人授权委托书：供应商须授权合法人员参加磋商全过程，提供法定代表人授权书（附法定代表人身份证复印件）、被授权人身份证及本单位证明（提供近一年内任意一个月的社会保障资金缴证明或劳动合同）；法定代表人直接参加投标只需提供法定代表人身份证。</w:t>
      </w:r>
    </w:p>
    <w:p>
      <w:pPr>
        <w:pStyle w:val="null3"/>
      </w:pPr>
      <w:r>
        <w:rPr>
          <w:rFonts w:ascii="仿宋_GB2312" w:hAnsi="仿宋_GB2312" w:cs="仿宋_GB2312" w:eastAsia="仿宋_GB2312"/>
        </w:rPr>
        <w:t>12、本项目不接受联合体投标，不允许分包：投标供应商应提供《非联合体不分包投标声明》，视为独立投标，不分包。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西安理工大学经办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029-82312371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陕西思迈融工程建设项目管理有限公司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陕西省西安市碑林区陕西省西安市碑林区南二环东段二环以南凯森盛世1号B座2606号房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惠旭泽 高雪娇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13186238483/029-82295130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采购包1：832,200.00元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开户名称：陕西思迈融工程建设项目管理有限公司</w:t>
            </w:r>
          </w:p>
          <w:p>
            <w:pPr>
              <w:pStyle w:val="null3"/>
            </w:pPr>
            <w:r>
              <w:rPr>
                <w:rFonts w:ascii="仿宋_GB2312" w:hAnsi="仿宋_GB2312" w:cs="仿宋_GB2312" w:eastAsia="仿宋_GB2312"/>
              </w:rPr>
              <w:t>开户银行：招商银行股份有限公司西安西影路支行</w:t>
            </w:r>
          </w:p>
          <w:p>
            <w:pPr>
              <w:pStyle w:val="null3"/>
            </w:pPr>
            <w:r>
              <w:rPr>
                <w:rFonts w:ascii="仿宋_GB2312" w:hAnsi="仿宋_GB2312" w:cs="仿宋_GB2312" w:eastAsia="仿宋_GB2312"/>
              </w:rPr>
              <w:t>银行账号：1299 0860 5410 801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有关规定，经甲乙双方约定，招标（采购）代理服务费及支付方式：代理项目金额80万元以下收取定额3000元；代理项目金额80万以上-400万以下，按照《招标代理服务收费管理暂行办法》（计价格[2002]1980 号）及（发改办价格[2011]534号）规定的计费标准*55%计取。 2、工程量清单及招标最高限价编制费：预算80万以下的项目按照定额执行1000元/项，预算80万以上-400万以下按照工程造价按照陕价行发（2014）88号文规定的计费标准*50%计取。 3、支付方式：项目采购结束后由中标单位在领取成交通知书前向采购代理机构一次性支付完毕。</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踏勘时间：2025-07-10 09:30:00</w:t>
            </w:r>
          </w:p>
          <w:p>
            <w:pPr>
              <w:pStyle w:val="null3"/>
              <w:ind w:firstLine="975"/>
            </w:pPr>
            <w:r>
              <w:rPr>
                <w:rFonts w:ascii="仿宋_GB2312" w:hAnsi="仿宋_GB2312" w:cs="仿宋_GB2312" w:eastAsia="仿宋_GB2312"/>
              </w:rPr>
              <w:t>踏勘地点：西安理工大学金花校区东门</w:t>
            </w:r>
          </w:p>
          <w:p>
            <w:pPr>
              <w:pStyle w:val="null3"/>
              <w:ind w:firstLine="975"/>
            </w:pPr>
            <w:r>
              <w:rPr>
                <w:rFonts w:ascii="仿宋_GB2312" w:hAnsi="仿宋_GB2312" w:cs="仿宋_GB2312" w:eastAsia="仿宋_GB2312"/>
              </w:rPr>
              <w:t>联系人：惠工</w:t>
            </w:r>
          </w:p>
          <w:p>
            <w:pPr>
              <w:pStyle w:val="null3"/>
              <w:ind w:firstLine="975"/>
            </w:pPr>
            <w:r>
              <w:rPr>
                <w:rFonts w:ascii="仿宋_GB2312" w:hAnsi="仿宋_GB2312" w:cs="仿宋_GB2312" w:eastAsia="仿宋_GB2312"/>
              </w:rPr>
              <w:t>联系电话号码：13186238483</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陕西思迈融工程建设项目管理有限公司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西安理工大学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陕西思迈融工程建设项目管理有限公司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陕西思迈融工程建设项目管理有限公司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一、按照磋商文件要求和合同约定执行，依据国家相关行业质量验收规范合格标准进行验收。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陕西思迈融工程建设项目管理有限公司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联系人：惠工、高工</w:t>
      </w:r>
    </w:p>
    <w:p>
      <w:pPr>
        <w:pStyle w:val="null3"/>
      </w:pPr>
      <w:r>
        <w:rPr>
          <w:rFonts w:ascii="仿宋_GB2312" w:hAnsi="仿宋_GB2312" w:cs="仿宋_GB2312" w:eastAsia="仿宋_GB2312"/>
        </w:rPr>
        <w:t>联系电话：13186238483、029-82295130</w:t>
      </w:r>
    </w:p>
    <w:p>
      <w:pPr>
        <w:pStyle w:val="null3"/>
      </w:pPr>
      <w:r>
        <w:rPr>
          <w:rFonts w:ascii="仿宋_GB2312" w:hAnsi="仿宋_GB2312" w:cs="仿宋_GB2312" w:eastAsia="仿宋_GB2312"/>
        </w:rPr>
        <w:t>地址：西安市碑林区南二环东段二环以南凯森盛世1号B座2606室</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832,200.00</w:t>
      </w:r>
    </w:p>
    <w:p>
      <w:pPr>
        <w:pStyle w:val="null3"/>
      </w:pPr>
      <w:r>
        <w:rPr>
          <w:rFonts w:ascii="仿宋_GB2312" w:hAnsi="仿宋_GB2312" w:cs="仿宋_GB2312" w:eastAsia="仿宋_GB2312"/>
        </w:rPr>
        <w:t>采购包最高限价（元）: 823,385.00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校医院创建一级医院维修改造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832,200.00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标的名称：校医院创建一级医院维修改造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投标时应在工程量清单及报价中注明主要材料选用品牌、规格型号等，要求所有建筑材料采用环保型材料，阻燃、无毒、无害、无放射性。施工时，需提供主要施工材料来源渠道合法的证明文件（包括但不限于销售协议、代理协议、原厂授权等）。因施工不善或材料使用不当发生工程事故及人员伤害的，责任由施工单位全权负责。完工后须经专业检测机构环保检测合格，否则建设单位有权追究施工单位相关事项的一切责任。</w:t>
            </w:r>
          </w:p>
          <w:p>
            <w:pPr>
              <w:pStyle w:val="null3"/>
            </w:pPr>
            <w:r>
              <w:rPr>
                <w:rFonts w:ascii="仿宋_GB2312" w:hAnsi="仿宋_GB2312" w:cs="仿宋_GB2312" w:eastAsia="仿宋_GB2312"/>
                <w:sz w:val="21"/>
              </w:rPr>
              <w:t>2.工程施工应按国家现行标准和相应的行业技术规范执行，这些标准和技术规范应为合同签订日为止最新公布发行的标准和技术规范。包括但不限于《建筑工程施工质量验收统一标准》GB 50300-2013。工程质量须符合国家施工验收规范要求，达到合格标准。</w:t>
            </w:r>
          </w:p>
          <w:p>
            <w:pPr>
              <w:pStyle w:val="null3"/>
            </w:pPr>
            <w:r>
              <w:rPr>
                <w:rFonts w:ascii="仿宋_GB2312" w:hAnsi="仿宋_GB2312" w:cs="仿宋_GB2312" w:eastAsia="仿宋_GB2312"/>
                <w:sz w:val="21"/>
              </w:rPr>
              <w:t>3.施工中，对不拆除的设施需进行有效保护，部分设施拆除、待恢复的按保护性拆除，其线路保护及恢复等相关费用计入装饰装修工程。装修改造后，医院弱电恢复达到使用要求。如因措施不到位，或保护不到位，造成的损失及恢复费用由施工单位承担。</w:t>
            </w:r>
          </w:p>
          <w:p>
            <w:pPr>
              <w:pStyle w:val="null3"/>
            </w:pPr>
            <w:r>
              <w:rPr>
                <w:rFonts w:ascii="仿宋_GB2312" w:hAnsi="仿宋_GB2312" w:cs="仿宋_GB2312" w:eastAsia="仿宋_GB2312"/>
                <w:sz w:val="21"/>
              </w:rPr>
              <w:t>4.主材料品牌及规格要求，乳胶漆（立邦、多乐士、三棵树）、空开箱和开关插座（正泰、公牛、施耐德）、灯具（佛山、三雄极光、欧普）、电线（正泰、津成、南洋）、上下水管道（日丰、联塑、川路）、水盆龙头全套和蹲台（箭牌、恒洁、安华）、医用塑胶3mm地面（艾西克、肯帝亚、洁弗乐）、新增钢制防盗门（步阳、王力、盼盼）、地砖墙砖（80*40,佛山盛世唐朝、东鹏和冠军）、防水和防水保护层（雨虹、德高、西卡）、开关和插座（欧普、正泰、三雄极光）、塑钢窗（高科、海螺、中财）、1楼暖气管道和暖气片（天津利达、友发、华岐）、护墙板（美步、豪利、风鸟）等同档次品牌。</w:t>
            </w:r>
          </w:p>
          <w:p>
            <w:pPr>
              <w:pStyle w:val="null3"/>
            </w:pPr>
            <w:r>
              <w:rPr>
                <w:rFonts w:ascii="仿宋_GB2312" w:hAnsi="仿宋_GB2312" w:cs="仿宋_GB2312" w:eastAsia="仿宋_GB2312"/>
                <w:sz w:val="21"/>
              </w:rPr>
              <w:t>5.手术室墙面和地面应防火耐湿，可易擦洗，耐腐蚀，光滑无裂痕手术间踢脚、墙面是弧形，不设地漏。地面材料为医用塑胶地面，做手术房间墙面为瓷片，墙面应使用不易积尘、耐清洗、抗菌的材料，墙角应做成弧形，减少卫生死角。手术室洗手间:需要用深水池以防止液体喷溅，单槽宽度≥45cm，深度≥20cm，采用非接触水龙头。手术间内的插座应采用防水、防漏电插座，数量和位置应满足手术设备的使用需求。铝扣板吊顶。加装2道门材料不锈钢，表面光滑、无缝隙，防撞耐用，双向开启，有观察窗。手术室门盒加装的2道门材料一致，为防撞门不锈钢材质，有观察窗。手术室现有的窗户密封。手术室对面的办公室现有的门封堵，现有的窗户改为外开门，材质钢质防盗门。</w:t>
            </w:r>
          </w:p>
          <w:p>
            <w:pPr>
              <w:pStyle w:val="null3"/>
            </w:pPr>
            <w:r>
              <w:rPr>
                <w:rFonts w:ascii="仿宋_GB2312" w:hAnsi="仿宋_GB2312" w:cs="仿宋_GB2312" w:eastAsia="仿宋_GB2312"/>
                <w:sz w:val="21"/>
              </w:rPr>
              <w:t>6.检验科吊顶，地面使用无缝防滑耐腐蚀材料，要求耐酸碱且便于清洁。台面材质选用耐腐蚀性，抗菌性，要求使用带有抗菌涂层的石英材料台面（如添加银离子涂层），降低微生物滋生风险。台面厚度≥12.7mm，边缘做圆角处理，避免锐角划伤。抽血窗口台面：高度80cm（适配身高160 - 180cm）。检验科操作台：高度80cm，2.4米长，1.6米宽，用于显微镜观察等精细操作，下配抽屉和柜子。污染池需设计为深水池以防止液体喷溅，污染区强制使用非接触式龙头；单槽宽度≥45cm，深度≥20cm，清洁池采用非接触机械臂延伸器水龙头，水池边缘设计挡水边，台面略微倾斜至排水口，避免积水，采用防滑地砖或铺设防滑垫排水管安装存水弯（U型管），防止污水倒灌。水池材质：首选304不锈钢，耐腐蚀、易清洁，适合高频消毒环境。窗口玻璃采用5厚安全玻璃时面积应≤2.0㎡，采用6厚安全玻璃时面积应≤3.0㎡，采用8厚安全玻璃时面积应≤4.0㎡。3组暖气片去掉优化一组，暖气片包起来做个台面。检验科内留2个壁挂空调插座，2个紫外线灯。</w:t>
            </w:r>
          </w:p>
          <w:p>
            <w:pPr>
              <w:pStyle w:val="null3"/>
            </w:pPr>
            <w:r>
              <w:rPr>
                <w:rFonts w:ascii="仿宋_GB2312" w:hAnsi="仿宋_GB2312" w:cs="仿宋_GB2312" w:eastAsia="仿宋_GB2312"/>
                <w:sz w:val="21"/>
              </w:rPr>
              <w:t>7.医院大厅、走廊和各科室室内地面均采用3mm厚度的医用塑胶地板；科室更换陶瓷洗手盆和上下水管，水龙头采用长把手；对药房西边的入户门进行封堵；医院大厅内两扇门摘除，做成垭口；各科室窗户更换为外窗采用88系列塑钢推拉窗6+12A+6LOW-E双玻；医院更换现有三个大门，新增南边大门，材质钢制防盗门，北门和西门两个门，均安装门禁预设感应门；收费室、药房窗口要求扩大（100cmx80cm），台面宽度60cm，与检验科台面均使用石英石材质；医院中间外区域的瓦片进行更换；卫生间和洗手间墙面和地板更换300*600瓷砖;科室地面与走廊地面不平的室内地板全部找平；大厅、走廊、手术室、卫生间、检验科和二楼抢救室吊顶采用铝扣板吊顶，采用LED灯照明；各诊疗科室按照26立方米设置一个紫外线灯；只有2楼设置扶手；一楼二楼卫生间设置无障碍卫生间；各科室入户门更换为木制门，需加涂防火材料，留有观察窗；一楼走廊、大厅、楼梯间、二楼中医诊室、中医阁、生化检验科采用1.2高PVC护墙板，其他地方不做；医院各科室下水管道统一汇入医疗污水管道；每科室三面墙面均布设两个插头；二楼走廊增设两个电源空开。中医阁3间理疗室。预留通风口。去掉药房、收费室外雨蓬。（施工具体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1.完工时间：自签订合同起35日历天内完成施工；2.验收：2.1采购人组织安排验收，供应商提供工程量清单以及图纸配合验收工作。 2.2验收标准：依据国家相关行业质量验收规范合格标准进行验收。3.支付方式：合同签订、施工方进场后，支付合同价款的40%预付款，工程完工并经学校现场管理人员初验合格后，支付至合同价款的80%；工程竣工验收合格、资料归档并经甲方审定后，支付剩余全部工程款。4.质保期：工程质量保修期2年，自验收合格之日起计算，如承诺延长的按承诺期限。5.其他：5.1施工单位的食宿由施工方自行解决，应遵守国家和建设单位的各项规定，及时至建设单位保卫处办理入校相关手续，施工期间的所有安全问题及由此而发生的各种费用由施工单位全部负责和承担；5.2由严格按照原设计图纸进行施工，不得私自变更；如因建设单位要求和现场情况需要变更签证，需严格按照建设单位签证变更管理办法相关程序申报；5.3施工产生的水电费由甲方装表计量，其中水费5.80元/吨，电费0.80元/度，乙方每次申请支付进度款前先向甲方缴纳水电费；5.4施工单位必须按照建设单位要求，严格按照工期要求保质保量完成工程；若延误工期，每日按照合同总额的千分之五处罚（若因天气等不可抗力因素导致延误，需作书面说明）；5.5确定中标单位后，由采购人组织工程技术交底会，同时签订合同。中标单位在规定的时间内未签署合同或不遵守招标要求，采购人有权取消其中标资格，并将中标资格授予备选的第二预中标单位；5.6施工前，中标单位应向建设单位后勤处维修管理科提交项目人员安排、进度计划表、安全措施、材料采购计划等（与投标文件一致），如有变动，应做书面说明并经建设单位认可；5.7施工过程中，施工单位必须严格按照招标文件技术要求施工，服从现场负责人安排，尤其对隐蔽工程、主材进场等环节做好记录、验收工作，确保施工质量符合工程施工相关规范。如发现有偷工减料、使用不合格的建筑材料等行为的，应立即停工整改，每次按照合同额的百分之一进行罚款，并责令限期整改，承担由此造成的一切损失；5.8中标单位须严格落实安全协议书相关条款和提交的安全措施，如设置施工安全标志、施工人员佩戴安全防护用品、定期组织安全教育培训等；5.9施工前要在门口张贴施工告示，明确工期、负责人及联系方式等，工程材料应集中堆放；施工时严格采取措施控制好扬尘、噪音；施工中产生的建筑垃圾应装袋后及时清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供应商2023年度或2024年度经审计的财务状况报告，包括 “四表一注”（即资产负债表、利润表、现金流量表、所有者权益变动表（没有可不提供）及其附注，成立时间至提交响应文件截止时间不足一年的可提供成立后任意时段的资产负债表），或其开标前三个月内基本开户银行出具的资信证 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响应函 特定资格审查</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提供合法有效的统一社会信用代码营业执照/事业单位法人证书/专业服务机构执业许可证/民办非企业单位登记证书。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特定资格审查</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 “四表一注”（即资产负债表、利润表、现金流量表、所有者权益变动表（没有可不提供）及其附注，成立时间至提交响应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特定资格审查</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特定资格审查</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特定资格审查</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特定资格审查</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特定资格审查</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特定资格审查</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供应商须具有具备建设行政主管部门核发的建筑工程施工总承包三级及以上资质；具有有效的安全生产许可证。</w:t>
            </w:r>
          </w:p>
        </w:tc>
        <w:tc>
          <w:tcPr>
            <w:tcW w:type="dxa" w:w="1661"/>
          </w:tcPr>
          <w:p>
            <w:pPr>
              <w:pStyle w:val="null3"/>
            </w:pPr>
            <w:r>
              <w:rPr>
                <w:rFonts w:ascii="仿宋_GB2312" w:hAnsi="仿宋_GB2312" w:cs="仿宋_GB2312" w:eastAsia="仿宋_GB2312"/>
              </w:rPr>
              <w:t>特定资格审查</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拟派项目经理要求</w:t>
            </w:r>
          </w:p>
        </w:tc>
        <w:tc>
          <w:tcPr>
            <w:tcW w:type="dxa" w:w="3322"/>
          </w:tcPr>
          <w:p>
            <w:pPr>
              <w:pStyle w:val="null3"/>
            </w:pPr>
            <w:r>
              <w:rPr>
                <w:rFonts w:ascii="仿宋_GB2312" w:hAnsi="仿宋_GB2312" w:cs="仿宋_GB2312" w:eastAsia="仿宋_GB2312"/>
              </w:rPr>
              <w:t>项目经理需具有建筑工程专业二级及以上注册建造师执业资格，并具有合法有效的安全生产考核合格证（建安B证），须在本单位注册，无不良信用记录，无在建工程，提供承诺书。</w:t>
            </w:r>
          </w:p>
        </w:tc>
        <w:tc>
          <w:tcPr>
            <w:tcW w:type="dxa" w:w="1661"/>
          </w:tcPr>
          <w:p>
            <w:pPr>
              <w:pStyle w:val="null3"/>
            </w:pPr>
            <w:r>
              <w:rPr>
                <w:rFonts w:ascii="仿宋_GB2312" w:hAnsi="仿宋_GB2312" w:cs="仿宋_GB2312" w:eastAsia="仿宋_GB2312"/>
              </w:rPr>
              <w:t>特定资格审查</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供应商及项目经理（建造师）的基本信息</w:t>
            </w:r>
          </w:p>
        </w:tc>
        <w:tc>
          <w:tcPr>
            <w:tcW w:type="dxa" w:w="3322"/>
          </w:tcPr>
          <w:p>
            <w:pPr>
              <w:pStyle w:val="null3"/>
            </w:pPr>
            <w:r>
              <w:rPr>
                <w:rFonts w:ascii="仿宋_GB2312" w:hAnsi="仿宋_GB2312" w:cs="仿宋_GB2312" w:eastAsia="仿宋_GB2312"/>
              </w:rPr>
              <w:t>须在 “全国建筑市场监管公共服务平台”（四库一平台）登记备案。</w:t>
            </w:r>
          </w:p>
        </w:tc>
        <w:tc>
          <w:tcPr>
            <w:tcW w:type="dxa" w:w="1661"/>
          </w:tcPr>
          <w:p>
            <w:pPr>
              <w:pStyle w:val="null3"/>
            </w:pPr>
            <w:r>
              <w:rPr>
                <w:rFonts w:ascii="仿宋_GB2312" w:hAnsi="仿宋_GB2312" w:cs="仿宋_GB2312" w:eastAsia="仿宋_GB2312"/>
              </w:rPr>
              <w:t>特定资格审查</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须授权合法人员参加磋商全过程，提供法定代表人授权书（附法定代表人身份证复印件）、被授权人身份证及本单位证明（提供近一年内任意一个月的社会保障资金缴证明或劳动合同）；法定代表人直接参加投标只需提供法定代表人身份证。</w:t>
            </w:r>
          </w:p>
        </w:tc>
        <w:tc>
          <w:tcPr>
            <w:tcW w:type="dxa" w:w="1661"/>
          </w:tcPr>
          <w:p>
            <w:pPr>
              <w:pStyle w:val="null3"/>
            </w:pPr>
            <w:r>
              <w:rPr>
                <w:rFonts w:ascii="仿宋_GB2312" w:hAnsi="仿宋_GB2312" w:cs="仿宋_GB2312" w:eastAsia="仿宋_GB2312"/>
              </w:rPr>
              <w:t>特定资格审查</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特定资格审查</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签署、盖章均符合磋商文件要求，且无遗漏。</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标的清单 供应商承诺书 响应函 特定资格审查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项目管理机构组成表 技术服务合同条款及其他商务要求应答表 供应商类似项目业绩一览表 供应商承诺书 主要人员简历表 强制优先采购产品承诺函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工期、工程质量</w:t>
            </w:r>
          </w:p>
        </w:tc>
        <w:tc>
          <w:tcPr>
            <w:tcW w:type="dxa" w:w="3322"/>
          </w:tcPr>
          <w:p>
            <w:pPr>
              <w:pStyle w:val="null3"/>
            </w:pPr>
            <w:r>
              <w:rPr>
                <w:rFonts w:ascii="仿宋_GB2312" w:hAnsi="仿宋_GB2312" w:cs="仿宋_GB2312" w:eastAsia="仿宋_GB2312"/>
              </w:rPr>
              <w:t>符合“采购需求”的规定</w:t>
            </w:r>
          </w:p>
        </w:tc>
        <w:tc>
          <w:tcPr>
            <w:tcW w:type="dxa" w:w="1661"/>
          </w:tcPr>
          <w:p>
            <w:pPr>
              <w:pStyle w:val="null3"/>
            </w:pPr>
            <w:r>
              <w:rPr>
                <w:rFonts w:ascii="仿宋_GB2312" w:hAnsi="仿宋_GB2312" w:cs="仿宋_GB2312" w:eastAsia="仿宋_GB2312"/>
              </w:rPr>
              <w:t>技术方案 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已标价工程量清单</w:t>
            </w:r>
          </w:p>
        </w:tc>
        <w:tc>
          <w:tcPr>
            <w:tcW w:type="dxa" w:w="3322"/>
          </w:tcPr>
          <w:p>
            <w:pPr>
              <w:pStyle w:val="null3"/>
            </w:pPr>
            <w:r>
              <w:rPr>
                <w:rFonts w:ascii="仿宋_GB2312" w:hAnsi="仿宋_GB2312" w:cs="仿宋_GB2312" w:eastAsia="仿宋_GB2312"/>
              </w:rPr>
              <w:t>符合磋商文件给出的范围和数量</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 完整性（4分）：方案需涵盖施工部署、进度计划、技术难点、应对措施等关键内容，每缺一项扣1分，每项有缺陷扣0.5分，扣完为止。 2. 可实施性（4分）：需附施工流程图或工艺标准文件，工艺流程需合理、清晰，无图示扣2分，流程不合理扣2分。 3. 针对性（4分）：需包含项目所在地气候、地质条件等专项应对措施，紧扣项目实际情况，无针对性内容扣2分。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1. 质量目标明确性（2分）：目标明确且措施可实施得2分；目标较明确、措施基本可行得1分；模糊或不可行得0分。 2. 质量管理体系完善度（4分）：体系需包含质量责任、人员培训、资源配置、质量检查、应急处理等，每缺一项扣1分，每项有缺陷扣0.5分，扣完为止。 3. 质量管理措施科学性（4分）：需提供过往项目质量验收报告或第三方检测证明，措施科学合理、有效性强得4分，措施一般、有效性一般得2分，无证明或未提供得0分。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w:t>
            </w:r>
          </w:p>
        </w:tc>
        <w:tc>
          <w:tcPr>
            <w:tcW w:type="dxa" w:w="2492"/>
          </w:tcPr>
          <w:p>
            <w:pPr>
              <w:pStyle w:val="null3"/>
            </w:pPr>
            <w:r>
              <w:rPr>
                <w:rFonts w:ascii="仿宋_GB2312" w:hAnsi="仿宋_GB2312" w:cs="仿宋_GB2312" w:eastAsia="仿宋_GB2312"/>
              </w:rPr>
              <w:t>1. 安全目标明确性（2分）：明确安全事故发生率控制目标得2分，无目标得0分。 2. 安全体系健全度（3分）：体系包含安全管理制度、人员培训、应急演练、特种作业人员持证上岗管理，每缺一项扣1分，每项有缺陷扣0.5分，扣完为止。 3. 应急预案可行性（2分）：涵盖常见安全事故场景且措施合理得2分；部分场景且基本合理得1分；场景少且不合理得0分。 4. 文明施工措施具体性（3分）：措施包含场地整洁、噪音控制、扬尘治理（需附扬尘监测设备布置图），每缺一项扣1分，无图示扣1分，每项有缺陷扣0.5分，扣完为止。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1. 总工期满足要求（2分）：符合磋商文件工期要求得2分，超出磋商文件工期要求按废标处理。 2. 节点工期分析合理性（4分）：对关键节点工期有详细分析且合理得4分；分析简单且较合理得2分；无分析得0分。 3. 延误工期补救措施有效性（4分）：依据类似工程经验或专业评估，措施有效得4分；部分有效得2分；基本无效得0分。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1. 施工机械配备合理性（4分）：①机械安排合理，保证工期；②配置完备，符合施工要求。每缺一项扣2分，每项有缺陷扣1分，扣完为止。 2. 材料投入计划（4分）：①主要材料信息（名称、规格、数量等）详细准确，无遗漏；②与工程进度匹配，进场时间合理。每缺一项扣2分，每项有缺陷扣1分，扣完为止。 3. 材料环保性（1分）：提供主要材料（如涂料、板材）检测报告，符合国标得1分，未提供或不合格不得分。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项目组织管理机构及人员配备情况</w:t>
            </w:r>
          </w:p>
        </w:tc>
        <w:tc>
          <w:tcPr>
            <w:tcW w:type="dxa" w:w="2492"/>
          </w:tcPr>
          <w:p>
            <w:pPr>
              <w:pStyle w:val="null3"/>
            </w:pPr>
            <w:r>
              <w:rPr>
                <w:rFonts w:ascii="仿宋_GB2312" w:hAnsi="仿宋_GB2312" w:cs="仿宋_GB2312" w:eastAsia="仿宋_GB2312"/>
              </w:rPr>
              <w:t>1. 项目组织管理机构（2分）：机构设置合理、专业队伍齐全得2分；较合理、齐全得1分；未提供得0分。 2. 项目经理（2分）：具备同类项目经验（附合同中项目经理署名页）得1分，具备高级工程师职称得1分（需提供职称证书、执业证书等）。 3. 项目人员配备（5分）：需配备技术负责人、专职安全员（需C证）、质检员（需质量员证书）等岗位，人员齐全且资质符合要求得5分；较合理得3分；基本满足得1分；未提供或资质不全得0分（需提供岗位证书、劳动合同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保修期内服务措施及保修承诺</w:t>
            </w:r>
          </w:p>
        </w:tc>
        <w:tc>
          <w:tcPr>
            <w:tcW w:type="dxa" w:w="2492"/>
          </w:tcPr>
          <w:p>
            <w:pPr>
              <w:pStyle w:val="null3"/>
            </w:pPr>
            <w:r>
              <w:rPr>
                <w:rFonts w:ascii="仿宋_GB2312" w:hAnsi="仿宋_GB2312" w:cs="仿宋_GB2312" w:eastAsia="仿宋_GB2312"/>
              </w:rPr>
              <w:t>1. 保修期内服务措施（3分）：提供保修服务工作方案、回访计划及质量保修措施、保修团队人员名单及联系方式，每缺一项扣1分，每项有缺陷扣0.5分，扣完为止。 2. 保修承诺（2分）：质保期每延长半年得1分，最高2分；未延长此项不得分。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提供2022年7月1日至今类似项目业绩，每提供一项有效业绩（合同需含项目金额、工期、质量标准、签署时间等关键页）得1分，满分5分。（附合同复印件加盖公章，弄虚作假取消中标资格）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1、最终磋商评审报价最低的为评审基准价，得30分。 2、按（评审基准价/最终磋商评审报价×30）的公式计算其得分。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详见附件：特定资格审查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