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版本号：ZX2025-06-6720250627001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雁塔校区主楼公共区域环境更新改造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ZX2025-06-67</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雁塔校区主楼公共区域环境更新改造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雁塔校区主楼公共区域环境更新改造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雁塔校区主楼公共区域环境更新改造，1项，具体详见磋商文件第三章。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采购包1（雁塔校区主楼公共区域环境更新改造）：属于专门面向中小企业采购。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3、施工资质：供应商具备建筑工程施工总承包三级及以上或建筑装修装饰工程专业承包二级及以上资质，有效期内的安全生产许可证；</w:t>
      </w:r>
    </w:p>
    <w:p>
      <w:pPr>
        <w:pStyle w:val="null3"/>
      </w:pPr>
      <w:r>
        <w:rPr>
          <w:rFonts w:ascii="仿宋_GB2312" w:hAnsi="仿宋_GB2312" w:cs="仿宋_GB2312" w:eastAsia="仿宋_GB2312"/>
        </w:rPr>
        <w:t>4、拟派项目负责人资质和专业要求：拟投入的项目经理须提供贰级（含贰级）以上建筑工程类注册建造师证书及安全生产考核合格证（B证），且无其他在建工程（提供无在建工程的承诺函）；</w:t>
      </w:r>
    </w:p>
    <w:p>
      <w:pPr>
        <w:pStyle w:val="null3"/>
      </w:pPr>
      <w:r>
        <w:rPr>
          <w:rFonts w:ascii="仿宋_GB2312" w:hAnsi="仿宋_GB2312" w:cs="仿宋_GB2312" w:eastAsia="仿宋_GB2312"/>
        </w:rPr>
        <w:t>5、陕西省建筑市场监管与诚信信息发布平台：外地企业提供在“陕西省建筑市场监管与诚信信息发布平台”企业库查询截图，要求字迹清晰可辨并加盖公章。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采购包1保证金金额：50,667.00元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 2、合同签订时，供应商须向采购人提交合同总价的5%作为履约保证金； 3、采购人验收合格后，供应商申请，采购人将履约保证金（无息）退还供应商； 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号)收费标准，按照成交金额100万(不含)以下，按照文件标准计费正常收取；100万(含)以上，按照文件标准计费下浮 25%收取。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踏勘时间：2025-07-07 10:00:00</w:t>
            </w:r>
          </w:p>
          <w:p>
            <w:pPr>
              <w:pStyle w:val="null3"/>
              <w:ind w:firstLine="975"/>
            </w:pPr>
            <w:r>
              <w:rPr>
                <w:rFonts w:ascii="仿宋_GB2312" w:hAnsi="仿宋_GB2312" w:cs="仿宋_GB2312" w:eastAsia="仿宋_GB2312"/>
              </w:rPr>
              <w:t>踏勘地点：雁塔校区北院主楼门前</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联系电话号码：029-82202233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1、按采购文件、响应文件、澄清表（函）； 2、合同及附件文本； 3、国家相应的标准、规范。 4、交付竣工验收的工程，必须符合规定的工程质量标准，有完整的工程技术经济资料和经签署的工程保修书，并具备国家规定的其他竣工条件。 工程竣工经验收合格后，方可交付使用；未经验收或者验收不合格的，不得交付使用 5、验收结果合格的，采购人应向成交供应商出具履约验收报告，成交供应商凭验收报告办理相关手续。 6、验收结果不合格的，履约保证金将不予退还，给采购人造成的损失超过履约保证金数额的，还应当对超过部分予以赔偿；没有提交履约保证金的，应当对采购人的损失承担赔偿责任。 7、履约验收组织单位：总务处。</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2,850,000.00</w:t>
      </w:r>
    </w:p>
    <w:p>
      <w:pPr>
        <w:pStyle w:val="null3"/>
      </w:pPr>
      <w:r>
        <w:rPr>
          <w:rFonts w:ascii="仿宋_GB2312" w:hAnsi="仿宋_GB2312" w:cs="仿宋_GB2312" w:eastAsia="仿宋_GB2312"/>
        </w:rPr>
        <w:t>采购包最高限价（元）: 2,850,000.00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雁塔校区主楼公共区域环境更新改造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标的名称：雁塔校区主楼公共区域环境更新改造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根据学校规划安排，现需将雁塔校区主楼公共区域进行基础提升改造。为满足其基础需求，现对主楼卫生间、走廊进行拆除装饰改造。涉及走廊装修改造、电气改造、卫生间拆除、新做防水及装饰面层、电气改造、洁具及面盆等安装，改造面积约3000平方米。质量标准执行国家、陕西省、西安市现行工程质量验评标准。施工场地满足施工需求。</w:t>
            </w:r>
          </w:p>
          <w:p>
            <w:pPr>
              <w:pStyle w:val="null3"/>
            </w:pPr>
            <w:r>
              <w:rPr>
                <w:rFonts w:ascii="仿宋_GB2312" w:hAnsi="仿宋_GB2312" w:cs="仿宋_GB2312" w:eastAsia="仿宋_GB2312"/>
              </w:rPr>
              <w:t>本次采购施工范围：本项目采购清单所包含全部内容。</w:t>
            </w:r>
          </w:p>
          <w:p>
            <w:pPr>
              <w:pStyle w:val="null3"/>
            </w:pPr>
            <w:r>
              <w:rPr>
                <w:rFonts w:ascii="仿宋_GB2312" w:hAnsi="仿宋_GB2312" w:cs="仿宋_GB2312" w:eastAsia="仿宋_GB2312"/>
              </w:rPr>
              <w:t>二、主要材料规格及技术参数要求表</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sz w:val="19"/>
                    </w:rPr>
                    <w:t>序号</w:t>
                  </w:r>
                </w:p>
              </w:tc>
              <w:tc>
                <w:tcPr>
                  <w:tcW w:type="dxa" w:w="638"/>
                </w:tcPr>
                <w:p>
                  <w:pPr>
                    <w:pStyle w:val="null3"/>
                    <w:jc w:val="center"/>
                  </w:pPr>
                  <w:r>
                    <w:rPr>
                      <w:rFonts w:ascii="仿宋_GB2312" w:hAnsi="仿宋_GB2312" w:cs="仿宋_GB2312" w:eastAsia="仿宋_GB2312"/>
                      <w:sz w:val="19"/>
                    </w:rPr>
                    <w:t>类别</w:t>
                  </w:r>
                </w:p>
              </w:tc>
              <w:tc>
                <w:tcPr>
                  <w:tcW w:type="dxa" w:w="638"/>
                </w:tcPr>
                <w:p>
                  <w:pPr>
                    <w:pStyle w:val="null3"/>
                    <w:jc w:val="center"/>
                  </w:pPr>
                  <w:r>
                    <w:rPr>
                      <w:rFonts w:ascii="仿宋_GB2312" w:hAnsi="仿宋_GB2312" w:cs="仿宋_GB2312" w:eastAsia="仿宋_GB2312"/>
                      <w:sz w:val="19"/>
                    </w:rPr>
                    <w:t>材料</w:t>
                  </w:r>
                </w:p>
                <w:p>
                  <w:pPr>
                    <w:pStyle w:val="null3"/>
                    <w:jc w:val="center"/>
                  </w:pPr>
                  <w:r>
                    <w:rPr>
                      <w:rFonts w:ascii="仿宋_GB2312" w:hAnsi="仿宋_GB2312" w:cs="仿宋_GB2312" w:eastAsia="仿宋_GB2312"/>
                      <w:sz w:val="19"/>
                    </w:rPr>
                    <w:t>名称</w:t>
                  </w:r>
                </w:p>
              </w:tc>
              <w:tc>
                <w:tcPr>
                  <w:tcW w:type="dxa" w:w="638"/>
                </w:tcPr>
                <w:p>
                  <w:pPr>
                    <w:pStyle w:val="null3"/>
                    <w:jc w:val="center"/>
                  </w:pPr>
                  <w:r>
                    <w:rPr>
                      <w:rFonts w:ascii="仿宋_GB2312" w:hAnsi="仿宋_GB2312" w:cs="仿宋_GB2312" w:eastAsia="仿宋_GB2312"/>
                      <w:sz w:val="19"/>
                    </w:rPr>
                    <w:t>参数、标准、要求</w:t>
                  </w:r>
                </w:p>
              </w:tc>
            </w:tr>
            <w:tr>
              <w:tc>
                <w:tcPr>
                  <w:tcW w:type="dxa" w:w="638"/>
                </w:tcPr>
                <w:p>
                  <w:pPr>
                    <w:pStyle w:val="null3"/>
                    <w:jc w:val="center"/>
                  </w:pPr>
                  <w:r>
                    <w:rPr>
                      <w:rFonts w:ascii="仿宋_GB2312" w:hAnsi="仿宋_GB2312" w:cs="仿宋_GB2312" w:eastAsia="仿宋_GB2312"/>
                      <w:sz w:val="19"/>
                    </w:rPr>
                    <w:t>1</w:t>
                  </w:r>
                </w:p>
              </w:tc>
              <w:tc>
                <w:tcPr>
                  <w:tcW w:type="dxa" w:w="638"/>
                  <w:vMerge w:val="restart"/>
                </w:tcPr>
                <w:p>
                  <w:pPr>
                    <w:pStyle w:val="null3"/>
                  </w:pPr>
                  <w:r>
                    <w:rPr>
                      <w:rFonts w:ascii="仿宋_GB2312" w:hAnsi="仿宋_GB2312" w:cs="仿宋_GB2312" w:eastAsia="仿宋_GB2312"/>
                      <w:sz w:val="19"/>
                    </w:rPr>
                    <w:t>装饰装修</w:t>
                  </w:r>
                </w:p>
              </w:tc>
              <w:tc>
                <w:tcPr>
                  <w:tcW w:type="dxa" w:w="638"/>
                </w:tcPr>
                <w:p>
                  <w:pPr>
                    <w:pStyle w:val="null3"/>
                  </w:pPr>
                  <w:r>
                    <w:rPr>
                      <w:rFonts w:ascii="仿宋_GB2312" w:hAnsi="仿宋_GB2312" w:cs="仿宋_GB2312" w:eastAsia="仿宋_GB2312"/>
                      <w:sz w:val="19"/>
                    </w:rPr>
                    <w:t>乳胶漆</w:t>
                  </w:r>
                </w:p>
              </w:tc>
              <w:tc>
                <w:tcPr>
                  <w:tcW w:type="dxa" w:w="638"/>
                </w:tcPr>
                <w:p>
                  <w:pPr>
                    <w:pStyle w:val="null3"/>
                  </w:pPr>
                  <w:r>
                    <w:rPr>
                      <w:rFonts w:ascii="仿宋_GB2312" w:hAnsi="仿宋_GB2312" w:cs="仿宋_GB2312" w:eastAsia="仿宋_GB2312"/>
                      <w:sz w:val="19"/>
                    </w:rPr>
                    <w:t>1. 乳胶漆挥发性有机化合物含量（60°光泽≤10）≤50g/L</w:t>
                  </w:r>
                </w:p>
                <w:p>
                  <w:pPr>
                    <w:pStyle w:val="null3"/>
                  </w:pPr>
                  <w:r>
                    <w:rPr>
                      <w:rFonts w:ascii="仿宋_GB2312" w:hAnsi="仿宋_GB2312" w:cs="仿宋_GB2312" w:eastAsia="仿宋_GB2312"/>
                      <w:sz w:val="19"/>
                    </w:rPr>
                    <w:t>2. 乳胶漆挥发性有机化合物含量（60°光泽＞10）≤80g/L</w:t>
                  </w:r>
                </w:p>
                <w:p>
                  <w:pPr>
                    <w:pStyle w:val="null3"/>
                  </w:pPr>
                  <w:r>
                    <w:rPr>
                      <w:rFonts w:ascii="仿宋_GB2312" w:hAnsi="仿宋_GB2312" w:cs="仿宋_GB2312" w:eastAsia="仿宋_GB2312"/>
                      <w:sz w:val="19"/>
                    </w:rPr>
                    <w:t>3. 乳胶漆甲醛含量（乙酰丙酮法）≤30mg/kg</w:t>
                  </w:r>
                </w:p>
                <w:p>
                  <w:pPr>
                    <w:pStyle w:val="null3"/>
                  </w:pPr>
                  <w:r>
                    <w:rPr>
                      <w:rFonts w:ascii="仿宋_GB2312" w:hAnsi="仿宋_GB2312" w:cs="仿宋_GB2312" w:eastAsia="仿宋_GB2312"/>
                      <w:sz w:val="19"/>
                    </w:rPr>
                    <w:t>4. 乳胶漆苯、甲苯、乙苯、二甲苯总和≤80mg/kg</w:t>
                  </w:r>
                </w:p>
                <w:p>
                  <w:pPr>
                    <w:pStyle w:val="null3"/>
                  </w:pPr>
                  <w:r>
                    <w:rPr>
                      <w:rFonts w:ascii="仿宋_GB2312" w:hAnsi="仿宋_GB2312" w:cs="仿宋_GB2312" w:eastAsia="仿宋_GB2312"/>
                      <w:sz w:val="19"/>
                    </w:rPr>
                    <w:t>5.耐洗刷性：≥6000 次</w:t>
                  </w:r>
                </w:p>
                <w:p>
                  <w:pPr>
                    <w:pStyle w:val="null3"/>
                  </w:pPr>
                  <w:r>
                    <w:rPr>
                      <w:rFonts w:ascii="仿宋_GB2312" w:hAnsi="仿宋_GB2312" w:cs="仿宋_GB2312" w:eastAsia="仿宋_GB2312"/>
                      <w:sz w:val="19"/>
                    </w:rPr>
                    <w:t>非工程款竹炭净味漆，甲醛净化效率≥80%，竹炭颗粒细度≤50纳米，VOC≤10g/L，符合GB18582-2020标准，未添加香精、溶剂，游离甲醛≤5mg/kg，通过CNAS认证，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2</w:t>
                  </w:r>
                </w:p>
              </w:tc>
              <w:tc>
                <w:tcPr>
                  <w:tcW w:type="dxa" w:w="638"/>
                  <w:vMerge/>
                </w:tcPr>
                <w:p/>
              </w:tc>
              <w:tc>
                <w:tcPr>
                  <w:tcW w:type="dxa" w:w="638"/>
                </w:tcPr>
                <w:p>
                  <w:pPr>
                    <w:pStyle w:val="null3"/>
                  </w:pPr>
                  <w:r>
                    <w:rPr>
                      <w:rFonts w:ascii="仿宋_GB2312" w:hAnsi="仿宋_GB2312" w:cs="仿宋_GB2312" w:eastAsia="仿宋_GB2312"/>
                      <w:sz w:val="19"/>
                    </w:rPr>
                    <w:t>墙地</w:t>
                  </w:r>
                </w:p>
                <w:p>
                  <w:pPr>
                    <w:pStyle w:val="null3"/>
                  </w:pPr>
                  <w:r>
                    <w:rPr>
                      <w:rFonts w:ascii="仿宋_GB2312" w:hAnsi="仿宋_GB2312" w:cs="仿宋_GB2312" w:eastAsia="仿宋_GB2312"/>
                      <w:sz w:val="19"/>
                    </w:rPr>
                    <w:t>瓷砖</w:t>
                  </w:r>
                </w:p>
              </w:tc>
              <w:tc>
                <w:tcPr>
                  <w:tcW w:type="dxa" w:w="638"/>
                </w:tcPr>
                <w:p>
                  <w:pPr>
                    <w:pStyle w:val="null3"/>
                  </w:pPr>
                  <w:r>
                    <w:rPr>
                      <w:rFonts w:ascii="仿宋_GB2312" w:hAnsi="仿宋_GB2312" w:cs="仿宋_GB2312" w:eastAsia="仿宋_GB2312"/>
                      <w:sz w:val="19"/>
                    </w:rPr>
                    <w:t>优等品，通过3C认证，执行标准GB/T4100-2015附录G，干压陶瓷E≤0.5%BIa类M，吸水率≤0.5%，摩擦系数≥0.5，符合GB6566-2010建筑材料放射性核素限量中放射性水平A类。产品内照射指数 IRa≤0.9，外照射指数 Ir≤1.2，耐污染性≥3 级，节能环保产品，符合本项目工程量清单、施工图纸相关要求，符合国家相关标准、规范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3</w:t>
                  </w:r>
                </w:p>
              </w:tc>
              <w:tc>
                <w:tcPr>
                  <w:tcW w:type="dxa" w:w="638"/>
                  <w:vMerge/>
                </w:tcPr>
                <w:p/>
              </w:tc>
              <w:tc>
                <w:tcPr>
                  <w:tcW w:type="dxa" w:w="638"/>
                </w:tcPr>
                <w:p>
                  <w:pPr>
                    <w:pStyle w:val="null3"/>
                  </w:pPr>
                  <w:r>
                    <w:rPr>
                      <w:rFonts w:ascii="仿宋_GB2312" w:hAnsi="仿宋_GB2312" w:cs="仿宋_GB2312" w:eastAsia="仿宋_GB2312"/>
                      <w:sz w:val="19"/>
                    </w:rPr>
                    <w:t>不锈钢</w:t>
                  </w:r>
                </w:p>
              </w:tc>
              <w:tc>
                <w:tcPr>
                  <w:tcW w:type="dxa" w:w="638"/>
                </w:tcPr>
                <w:p>
                  <w:pPr>
                    <w:pStyle w:val="null3"/>
                  </w:pPr>
                  <w:r>
                    <w:rPr>
                      <w:rFonts w:ascii="仿宋_GB2312" w:hAnsi="仿宋_GB2312" w:cs="仿宋_GB2312" w:eastAsia="仿宋_GB2312"/>
                      <w:sz w:val="19"/>
                    </w:rPr>
                    <w:t>1.2mm厚304哑光不锈钢,节能环保产品，符合本项目工程量清单、施工图纸相关要求，符合国家相关标准、规范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4</w:t>
                  </w:r>
                </w:p>
              </w:tc>
              <w:tc>
                <w:tcPr>
                  <w:tcW w:type="dxa" w:w="638"/>
                  <w:vMerge/>
                </w:tcPr>
                <w:p/>
              </w:tc>
              <w:tc>
                <w:tcPr>
                  <w:tcW w:type="dxa" w:w="638"/>
                </w:tcPr>
                <w:p>
                  <w:pPr>
                    <w:pStyle w:val="null3"/>
                  </w:pPr>
                  <w:r>
                    <w:rPr>
                      <w:rFonts w:ascii="仿宋_GB2312" w:hAnsi="仿宋_GB2312" w:cs="仿宋_GB2312" w:eastAsia="仿宋_GB2312"/>
                      <w:sz w:val="19"/>
                    </w:rPr>
                    <w:t>人造石</w:t>
                  </w:r>
                </w:p>
              </w:tc>
              <w:tc>
                <w:tcPr>
                  <w:tcW w:type="dxa" w:w="638"/>
                </w:tcPr>
                <w:p>
                  <w:pPr>
                    <w:pStyle w:val="null3"/>
                  </w:pPr>
                  <w:r>
                    <w:rPr>
                      <w:rFonts w:ascii="仿宋_GB2312" w:hAnsi="仿宋_GB2312" w:cs="仿宋_GB2312" w:eastAsia="仿宋_GB2312"/>
                      <w:sz w:val="19"/>
                    </w:rPr>
                    <w:t>20、18mm厚，防水、防渗、防霉，抗压≥160MPa，抗冲击≥15kg/㎡，弯曲强度≥40MPa，耐磨≤0.02g/cm</w:t>
                  </w:r>
                  <w:r>
                    <w:rPr>
                      <w:rFonts w:ascii="仿宋_GB2312" w:hAnsi="仿宋_GB2312" w:cs="仿宋_GB2312" w:eastAsia="仿宋_GB2312"/>
                      <w:sz w:val="19"/>
                      <w:vertAlign w:val="superscript"/>
                    </w:rPr>
                    <w:t>2</w:t>
                  </w:r>
                  <w:r>
                    <w:rPr>
                      <w:rFonts w:ascii="仿宋_GB2312" w:hAnsi="仿宋_GB2312" w:cs="仿宋_GB2312" w:eastAsia="仿宋_GB2312"/>
                      <w:sz w:val="19"/>
                    </w:rPr>
                    <w:t>，抗菌率≥99%，耐温差-20℃~120℃，耐酸碱10%盐酸，耐污≥4级，甲醛符合GB18580-2017，E0级≤0.05mg/m³，VOC含量≤100g/L，放射性核素内照≤1.0外照≤1.3，符合国家相关标准、规范，满足设计需求</w:t>
                  </w:r>
                </w:p>
              </w:tc>
            </w:tr>
            <w:tr>
              <w:tc>
                <w:tcPr>
                  <w:tcW w:type="dxa" w:w="638"/>
                </w:tcPr>
                <w:p>
                  <w:pPr>
                    <w:pStyle w:val="null3"/>
                    <w:jc w:val="center"/>
                  </w:pPr>
                  <w:r>
                    <w:rPr>
                      <w:rFonts w:ascii="仿宋_GB2312" w:hAnsi="仿宋_GB2312" w:cs="仿宋_GB2312" w:eastAsia="仿宋_GB2312"/>
                      <w:sz w:val="19"/>
                    </w:rPr>
                    <w:t>5</w:t>
                  </w:r>
                </w:p>
              </w:tc>
              <w:tc>
                <w:tcPr>
                  <w:tcW w:type="dxa" w:w="638"/>
                  <w:vMerge/>
                </w:tcPr>
                <w:p/>
              </w:tc>
              <w:tc>
                <w:tcPr>
                  <w:tcW w:type="dxa" w:w="638"/>
                </w:tcPr>
                <w:p>
                  <w:pPr>
                    <w:pStyle w:val="null3"/>
                  </w:pPr>
                  <w:r>
                    <w:rPr>
                      <w:rFonts w:ascii="仿宋_GB2312" w:hAnsi="仿宋_GB2312" w:cs="仿宋_GB2312" w:eastAsia="仿宋_GB2312"/>
                      <w:sz w:val="19"/>
                    </w:rPr>
                    <w:t>塑胶</w:t>
                  </w:r>
                </w:p>
                <w:p>
                  <w:pPr>
                    <w:pStyle w:val="null3"/>
                  </w:pPr>
                  <w:r>
                    <w:rPr>
                      <w:rFonts w:ascii="仿宋_GB2312" w:hAnsi="仿宋_GB2312" w:cs="仿宋_GB2312" w:eastAsia="仿宋_GB2312"/>
                      <w:sz w:val="19"/>
                    </w:rPr>
                    <w:t>地板</w:t>
                  </w:r>
                </w:p>
              </w:tc>
              <w:tc>
                <w:tcPr>
                  <w:tcW w:type="dxa" w:w="638"/>
                </w:tcPr>
                <w:p>
                  <w:pPr>
                    <w:pStyle w:val="null3"/>
                  </w:pPr>
                  <w:r>
                    <w:rPr>
                      <w:rFonts w:ascii="仿宋_GB2312" w:hAnsi="仿宋_GB2312" w:cs="仿宋_GB2312" w:eastAsia="仿宋_GB2312"/>
                      <w:sz w:val="19"/>
                    </w:rPr>
                    <w:t>4/2mm厚同质透心卷材，B1级阻燃，防滑，干摩擦系数≥0.4，湿摩擦系数≥0.35，耐磨度≥0.5，耐磨≥3000转，抗压≥15MPa，断裂伸长率≥200%，热膨胀系数≤0.05%/℃，甲醛符合标准QB18586-2001，E0级≤0.05mg/m³，VOC含量≤100g/L，重金属铅镉≤0.1mg/kg，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6</w:t>
                  </w:r>
                </w:p>
              </w:tc>
              <w:tc>
                <w:tcPr>
                  <w:tcW w:type="dxa" w:w="638"/>
                  <w:vMerge/>
                </w:tcPr>
                <w:p/>
              </w:tc>
              <w:tc>
                <w:tcPr>
                  <w:tcW w:type="dxa" w:w="638"/>
                </w:tcPr>
                <w:p>
                  <w:pPr>
                    <w:pStyle w:val="null3"/>
                  </w:pPr>
                  <w:r>
                    <w:rPr>
                      <w:rFonts w:ascii="仿宋_GB2312" w:hAnsi="仿宋_GB2312" w:cs="仿宋_GB2312" w:eastAsia="仿宋_GB2312"/>
                      <w:sz w:val="19"/>
                    </w:rPr>
                    <w:t>阻燃</w:t>
                  </w:r>
                </w:p>
                <w:p>
                  <w:pPr>
                    <w:pStyle w:val="null3"/>
                  </w:pPr>
                  <w:r>
                    <w:rPr>
                      <w:rFonts w:ascii="仿宋_GB2312" w:hAnsi="仿宋_GB2312" w:cs="仿宋_GB2312" w:eastAsia="仿宋_GB2312"/>
                      <w:sz w:val="19"/>
                    </w:rPr>
                    <w:t>木工板</w:t>
                  </w:r>
                </w:p>
              </w:tc>
              <w:tc>
                <w:tcPr>
                  <w:tcW w:type="dxa" w:w="638"/>
                </w:tcPr>
                <w:p>
                  <w:pPr>
                    <w:pStyle w:val="null3"/>
                  </w:pPr>
                  <w:r>
                    <w:rPr>
                      <w:rFonts w:ascii="仿宋_GB2312" w:hAnsi="仿宋_GB2312" w:cs="仿宋_GB2312" w:eastAsia="仿宋_GB2312"/>
                      <w:sz w:val="19"/>
                    </w:rPr>
                    <w:t>15mm厚，节能环保产品，符合本项目工程量清单、施工图纸相关要求，符合国家相关标准、规范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7</w:t>
                  </w:r>
                </w:p>
              </w:tc>
              <w:tc>
                <w:tcPr>
                  <w:tcW w:type="dxa" w:w="638"/>
                  <w:vMerge/>
                </w:tcPr>
                <w:p/>
              </w:tc>
              <w:tc>
                <w:tcPr>
                  <w:tcW w:type="dxa" w:w="638"/>
                </w:tcPr>
                <w:p>
                  <w:pPr>
                    <w:pStyle w:val="null3"/>
                  </w:pPr>
                  <w:r>
                    <w:rPr>
                      <w:rFonts w:ascii="仿宋_GB2312" w:hAnsi="仿宋_GB2312" w:cs="仿宋_GB2312" w:eastAsia="仿宋_GB2312"/>
                      <w:sz w:val="19"/>
                    </w:rPr>
                    <w:t>石膏板</w:t>
                  </w:r>
                </w:p>
              </w:tc>
              <w:tc>
                <w:tcPr>
                  <w:tcW w:type="dxa" w:w="638"/>
                </w:tcPr>
                <w:p>
                  <w:pPr>
                    <w:pStyle w:val="null3"/>
                  </w:pPr>
                  <w:r>
                    <w:rPr>
                      <w:rFonts w:ascii="仿宋_GB2312" w:hAnsi="仿宋_GB2312" w:cs="仿宋_GB2312" w:eastAsia="仿宋_GB2312"/>
                      <w:sz w:val="19"/>
                    </w:rPr>
                    <w:t>9/12mm厚节能环保产品，符合本项目工程量清单、施工图纸相关要求，符合国家相关标准、规范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8</w:t>
                  </w:r>
                </w:p>
              </w:tc>
              <w:tc>
                <w:tcPr>
                  <w:tcW w:type="dxa" w:w="638"/>
                  <w:vMerge/>
                </w:tcPr>
                <w:p/>
              </w:tc>
              <w:tc>
                <w:tcPr>
                  <w:tcW w:type="dxa" w:w="638"/>
                </w:tcPr>
                <w:p>
                  <w:pPr>
                    <w:pStyle w:val="null3"/>
                  </w:pPr>
                  <w:r>
                    <w:rPr>
                      <w:rFonts w:ascii="仿宋_GB2312" w:hAnsi="仿宋_GB2312" w:cs="仿宋_GB2312" w:eastAsia="仿宋_GB2312"/>
                      <w:sz w:val="19"/>
                    </w:rPr>
                    <w:t>轻钢</w:t>
                  </w:r>
                </w:p>
                <w:p>
                  <w:pPr>
                    <w:pStyle w:val="null3"/>
                  </w:pPr>
                  <w:r>
                    <w:rPr>
                      <w:rFonts w:ascii="仿宋_GB2312" w:hAnsi="仿宋_GB2312" w:cs="仿宋_GB2312" w:eastAsia="仿宋_GB2312"/>
                      <w:sz w:val="19"/>
                    </w:rPr>
                    <w:t>龙骨</w:t>
                  </w:r>
                </w:p>
              </w:tc>
              <w:tc>
                <w:tcPr>
                  <w:tcW w:type="dxa" w:w="638"/>
                </w:tcPr>
                <w:p>
                  <w:pPr>
                    <w:pStyle w:val="null3"/>
                  </w:pPr>
                  <w:r>
                    <w:rPr>
                      <w:rFonts w:ascii="仿宋_GB2312" w:hAnsi="仿宋_GB2312" w:cs="仿宋_GB2312" w:eastAsia="仿宋_GB2312"/>
                      <w:sz w:val="19"/>
                    </w:rPr>
                    <w:t>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9</w:t>
                  </w:r>
                </w:p>
              </w:tc>
              <w:tc>
                <w:tcPr>
                  <w:tcW w:type="dxa" w:w="638"/>
                  <w:vMerge/>
                </w:tcPr>
                <w:p/>
              </w:tc>
              <w:tc>
                <w:tcPr>
                  <w:tcW w:type="dxa" w:w="638"/>
                </w:tcPr>
                <w:p>
                  <w:pPr>
                    <w:pStyle w:val="null3"/>
                  </w:pPr>
                  <w:r>
                    <w:rPr>
                      <w:rFonts w:ascii="仿宋_GB2312" w:hAnsi="仿宋_GB2312" w:cs="仿宋_GB2312" w:eastAsia="仿宋_GB2312"/>
                      <w:sz w:val="19"/>
                    </w:rPr>
                    <w:t>玻璃</w:t>
                  </w:r>
                </w:p>
              </w:tc>
              <w:tc>
                <w:tcPr>
                  <w:tcW w:type="dxa" w:w="638"/>
                </w:tcPr>
                <w:p>
                  <w:pPr>
                    <w:pStyle w:val="null3"/>
                  </w:pPr>
                  <w:r>
                    <w:rPr>
                      <w:rFonts w:ascii="仿宋_GB2312" w:hAnsi="仿宋_GB2312" w:cs="仿宋_GB2312" w:eastAsia="仿宋_GB2312"/>
                      <w:sz w:val="19"/>
                    </w:rPr>
                    <w:t>钢化白浮法玻璃，符合本项目工程量清单、施工图纸相关要求，符合国家相关标准、规范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10</w:t>
                  </w:r>
                </w:p>
              </w:tc>
              <w:tc>
                <w:tcPr>
                  <w:tcW w:type="dxa" w:w="638"/>
                  <w:vMerge/>
                </w:tcPr>
                <w:p/>
              </w:tc>
              <w:tc>
                <w:tcPr>
                  <w:tcW w:type="dxa" w:w="638"/>
                </w:tcPr>
                <w:p>
                  <w:pPr>
                    <w:pStyle w:val="null3"/>
                  </w:pPr>
                  <w:r>
                    <w:rPr>
                      <w:rFonts w:ascii="仿宋_GB2312" w:hAnsi="仿宋_GB2312" w:cs="仿宋_GB2312" w:eastAsia="仿宋_GB2312"/>
                      <w:sz w:val="19"/>
                    </w:rPr>
                    <w:t>铝合金</w:t>
                  </w:r>
                </w:p>
              </w:tc>
              <w:tc>
                <w:tcPr>
                  <w:tcW w:type="dxa" w:w="638"/>
                </w:tcPr>
                <w:p>
                  <w:pPr>
                    <w:pStyle w:val="null3"/>
                  </w:pPr>
                  <w:r>
                    <w:rPr>
                      <w:rFonts w:ascii="仿宋_GB2312" w:hAnsi="仿宋_GB2312" w:cs="仿宋_GB2312" w:eastAsia="仿宋_GB2312"/>
                      <w:sz w:val="19"/>
                    </w:rPr>
                    <w:t>70系列铝合金厚度1.4mm，符合国家相关标准、规范。</w:t>
                  </w:r>
                </w:p>
              </w:tc>
            </w:tr>
            <w:tr>
              <w:tc>
                <w:tcPr>
                  <w:tcW w:type="dxa" w:w="638"/>
                </w:tcPr>
                <w:p>
                  <w:pPr>
                    <w:pStyle w:val="null3"/>
                    <w:jc w:val="center"/>
                  </w:pPr>
                  <w:r>
                    <w:rPr>
                      <w:rFonts w:ascii="仿宋_GB2312" w:hAnsi="仿宋_GB2312" w:cs="仿宋_GB2312" w:eastAsia="仿宋_GB2312"/>
                      <w:sz w:val="19"/>
                    </w:rPr>
                    <w:t>11</w:t>
                  </w:r>
                </w:p>
              </w:tc>
              <w:tc>
                <w:tcPr>
                  <w:tcW w:type="dxa" w:w="638"/>
                  <w:vMerge/>
                </w:tcPr>
                <w:p/>
              </w:tc>
              <w:tc>
                <w:tcPr>
                  <w:tcW w:type="dxa" w:w="638"/>
                </w:tcPr>
                <w:p>
                  <w:pPr>
                    <w:pStyle w:val="null3"/>
                  </w:pPr>
                  <w:r>
                    <w:rPr>
                      <w:rFonts w:ascii="仿宋_GB2312" w:hAnsi="仿宋_GB2312" w:cs="仿宋_GB2312" w:eastAsia="仿宋_GB2312"/>
                      <w:sz w:val="19"/>
                    </w:rPr>
                    <w:t>玻璃胶</w:t>
                  </w:r>
                </w:p>
              </w:tc>
              <w:tc>
                <w:tcPr>
                  <w:tcW w:type="dxa" w:w="638"/>
                </w:tcPr>
                <w:p>
                  <w:pPr>
                    <w:pStyle w:val="null3"/>
                  </w:pPr>
                  <w:r>
                    <w:rPr>
                      <w:rFonts w:ascii="仿宋_GB2312" w:hAnsi="仿宋_GB2312" w:cs="仿宋_GB2312" w:eastAsia="仿宋_GB2312"/>
                      <w:sz w:val="19"/>
                    </w:rPr>
                    <w:t>1.单位产品总挥发性有机物（TVOC）含量≤80g/kg</w:t>
                  </w:r>
                </w:p>
                <w:p>
                  <w:pPr>
                    <w:pStyle w:val="null3"/>
                  </w:pPr>
                  <w:r>
                    <w:rPr>
                      <w:rFonts w:ascii="仿宋_GB2312" w:hAnsi="仿宋_GB2312" w:cs="仿宋_GB2312" w:eastAsia="仿宋_GB2312"/>
                      <w:sz w:val="19"/>
                    </w:rPr>
                    <w:t>2.烷烃增塑剂（红外光谱）不得检出</w:t>
                  </w:r>
                </w:p>
                <w:p>
                  <w:pPr>
                    <w:pStyle w:val="null3"/>
                  </w:pPr>
                  <w:r>
                    <w:rPr>
                      <w:rFonts w:ascii="仿宋_GB2312" w:hAnsi="仿宋_GB2312" w:cs="仿宋_GB2312" w:eastAsia="仿宋_GB2312"/>
                      <w:sz w:val="19"/>
                    </w:rPr>
                    <w:t>3. 密封胶分级达到 20HM、25HM、20LM</w:t>
                  </w:r>
                </w:p>
                <w:p>
                  <w:pPr>
                    <w:pStyle w:val="null3"/>
                  </w:pPr>
                  <w:r>
                    <w:rPr>
                      <w:rFonts w:ascii="仿宋_GB2312" w:hAnsi="仿宋_GB2312" w:cs="仿宋_GB2312" w:eastAsia="仿宋_GB2312"/>
                      <w:sz w:val="19"/>
                    </w:rPr>
                    <w:t>4.符合《胶粘剂中有害物质限量》GB 18583-2008</w:t>
                  </w:r>
                </w:p>
              </w:tc>
            </w:tr>
            <w:tr>
              <w:tc>
                <w:tcPr>
                  <w:tcW w:type="dxa" w:w="638"/>
                </w:tcPr>
                <w:p>
                  <w:pPr>
                    <w:pStyle w:val="null3"/>
                    <w:jc w:val="center"/>
                  </w:pPr>
                  <w:r>
                    <w:rPr>
                      <w:rFonts w:ascii="仿宋_GB2312" w:hAnsi="仿宋_GB2312" w:cs="仿宋_GB2312" w:eastAsia="仿宋_GB2312"/>
                      <w:sz w:val="19"/>
                    </w:rPr>
                    <w:t>12</w:t>
                  </w:r>
                </w:p>
              </w:tc>
              <w:tc>
                <w:tcPr>
                  <w:tcW w:type="dxa" w:w="638"/>
                  <w:vMerge/>
                </w:tcPr>
                <w:p/>
              </w:tc>
              <w:tc>
                <w:tcPr>
                  <w:tcW w:type="dxa" w:w="638"/>
                </w:tcPr>
                <w:p>
                  <w:pPr>
                    <w:pStyle w:val="null3"/>
                  </w:pPr>
                  <w:r>
                    <w:rPr>
                      <w:rFonts w:ascii="仿宋_GB2312" w:hAnsi="仿宋_GB2312" w:cs="仿宋_GB2312" w:eastAsia="仿宋_GB2312"/>
                      <w:sz w:val="19"/>
                    </w:rPr>
                    <w:t>结构胶</w:t>
                  </w:r>
                </w:p>
              </w:tc>
              <w:tc>
                <w:tcPr>
                  <w:tcW w:type="dxa" w:w="638"/>
                </w:tcPr>
                <w:p>
                  <w:pPr>
                    <w:pStyle w:val="null3"/>
                  </w:pPr>
                  <w:r>
                    <w:rPr>
                      <w:rFonts w:ascii="仿宋_GB2312" w:hAnsi="仿宋_GB2312" w:cs="仿宋_GB2312" w:eastAsia="仿宋_GB2312"/>
                      <w:sz w:val="19"/>
                    </w:rPr>
                    <w:t>1.单位产品总挥发性有机物（TVOC）含量≤80g/kg</w:t>
                  </w:r>
                </w:p>
                <w:p>
                  <w:pPr>
                    <w:pStyle w:val="null3"/>
                  </w:pPr>
                  <w:r>
                    <w:rPr>
                      <w:rFonts w:ascii="仿宋_GB2312" w:hAnsi="仿宋_GB2312" w:cs="仿宋_GB2312" w:eastAsia="仿宋_GB2312"/>
                      <w:sz w:val="19"/>
                    </w:rPr>
                    <w:t>2.烷烃增塑剂（红外光谱）不得检出</w:t>
                  </w:r>
                </w:p>
                <w:p>
                  <w:pPr>
                    <w:pStyle w:val="null3"/>
                  </w:pPr>
                  <w:r>
                    <w:rPr>
                      <w:rFonts w:ascii="仿宋_GB2312" w:hAnsi="仿宋_GB2312" w:cs="仿宋_GB2312" w:eastAsia="仿宋_GB2312"/>
                      <w:sz w:val="19"/>
                    </w:rPr>
                    <w:t>3.23℃拉伸粘结强度标准值≥0.6MPa</w:t>
                  </w:r>
                </w:p>
                <w:p>
                  <w:pPr>
                    <w:pStyle w:val="null3"/>
                  </w:pPr>
                  <w:r>
                    <w:rPr>
                      <w:rFonts w:ascii="仿宋_GB2312" w:hAnsi="仿宋_GB2312" w:cs="仿宋_GB2312" w:eastAsia="仿宋_GB2312"/>
                      <w:sz w:val="19"/>
                    </w:rPr>
                    <w:t>4.粘结破坏面积≤5%</w:t>
                  </w:r>
                </w:p>
                <w:p>
                  <w:pPr>
                    <w:pStyle w:val="null3"/>
                  </w:pPr>
                  <w:r>
                    <w:rPr>
                      <w:rFonts w:ascii="仿宋_GB2312" w:hAnsi="仿宋_GB2312" w:cs="仿宋_GB2312" w:eastAsia="仿宋_GB2312"/>
                      <w:sz w:val="19"/>
                    </w:rPr>
                    <w:t>5.符合《胶粘剂中有害物质限量》GB 18583-2008</w:t>
                  </w:r>
                </w:p>
              </w:tc>
            </w:tr>
            <w:tr>
              <w:tc>
                <w:tcPr>
                  <w:tcW w:type="dxa" w:w="638"/>
                </w:tcPr>
                <w:p>
                  <w:pPr>
                    <w:pStyle w:val="null3"/>
                    <w:jc w:val="center"/>
                  </w:pPr>
                  <w:r>
                    <w:rPr>
                      <w:rFonts w:ascii="仿宋_GB2312" w:hAnsi="仿宋_GB2312" w:cs="仿宋_GB2312" w:eastAsia="仿宋_GB2312"/>
                      <w:sz w:val="19"/>
                    </w:rPr>
                    <w:t>13</w:t>
                  </w:r>
                </w:p>
              </w:tc>
              <w:tc>
                <w:tcPr>
                  <w:tcW w:type="dxa" w:w="638"/>
                  <w:vMerge/>
                </w:tcPr>
                <w:p/>
              </w:tc>
              <w:tc>
                <w:tcPr>
                  <w:tcW w:type="dxa" w:w="638"/>
                </w:tcPr>
                <w:p>
                  <w:pPr>
                    <w:pStyle w:val="null3"/>
                  </w:pPr>
                  <w:r>
                    <w:rPr>
                      <w:rFonts w:ascii="仿宋_GB2312" w:hAnsi="仿宋_GB2312" w:cs="仿宋_GB2312" w:eastAsia="仿宋_GB2312"/>
                      <w:sz w:val="19"/>
                    </w:rPr>
                    <w:t>抗倍特板隔断</w:t>
                  </w:r>
                </w:p>
              </w:tc>
              <w:tc>
                <w:tcPr>
                  <w:tcW w:type="dxa" w:w="638"/>
                </w:tcPr>
                <w:p>
                  <w:pPr>
                    <w:pStyle w:val="null3"/>
                  </w:pPr>
                  <w:r>
                    <w:rPr>
                      <w:rFonts w:ascii="仿宋_GB2312" w:hAnsi="仿宋_GB2312" w:cs="仿宋_GB2312" w:eastAsia="仿宋_GB2312"/>
                      <w:sz w:val="19"/>
                    </w:rPr>
                    <w:t>防水防潮，符合国家相关标准、规范。</w:t>
                  </w:r>
                </w:p>
              </w:tc>
            </w:tr>
            <w:tr>
              <w:tc>
                <w:tcPr>
                  <w:tcW w:type="dxa" w:w="638"/>
                </w:tcPr>
                <w:p>
                  <w:pPr>
                    <w:pStyle w:val="null3"/>
                    <w:jc w:val="center"/>
                  </w:pPr>
                  <w:r>
                    <w:rPr>
                      <w:rFonts w:ascii="仿宋_GB2312" w:hAnsi="仿宋_GB2312" w:cs="仿宋_GB2312" w:eastAsia="仿宋_GB2312"/>
                      <w:sz w:val="19"/>
                    </w:rPr>
                    <w:t>14</w:t>
                  </w:r>
                </w:p>
              </w:tc>
              <w:tc>
                <w:tcPr>
                  <w:tcW w:type="dxa" w:w="638"/>
                  <w:vMerge/>
                </w:tcPr>
                <w:p/>
              </w:tc>
              <w:tc>
                <w:tcPr>
                  <w:tcW w:type="dxa" w:w="638"/>
                </w:tcPr>
                <w:p>
                  <w:pPr>
                    <w:pStyle w:val="null3"/>
                  </w:pPr>
                  <w:r>
                    <w:rPr>
                      <w:rFonts w:ascii="仿宋_GB2312" w:hAnsi="仿宋_GB2312" w:cs="仿宋_GB2312" w:eastAsia="仿宋_GB2312"/>
                      <w:sz w:val="19"/>
                    </w:rPr>
                    <w:t>挡烟</w:t>
                  </w:r>
                </w:p>
                <w:p>
                  <w:pPr>
                    <w:pStyle w:val="null3"/>
                  </w:pPr>
                  <w:r>
                    <w:rPr>
                      <w:rFonts w:ascii="仿宋_GB2312" w:hAnsi="仿宋_GB2312" w:cs="仿宋_GB2312" w:eastAsia="仿宋_GB2312"/>
                      <w:sz w:val="19"/>
                    </w:rPr>
                    <w:t>垂壁</w:t>
                  </w:r>
                </w:p>
              </w:tc>
              <w:tc>
                <w:tcPr>
                  <w:tcW w:type="dxa" w:w="638"/>
                </w:tcPr>
                <w:p>
                  <w:pPr>
                    <w:pStyle w:val="null3"/>
                  </w:pPr>
                  <w:r>
                    <w:rPr>
                      <w:rFonts w:ascii="仿宋_GB2312" w:hAnsi="仿宋_GB2312" w:cs="仿宋_GB2312" w:eastAsia="仿宋_GB2312"/>
                      <w:sz w:val="19"/>
                    </w:rPr>
                    <w:t>满足消防要求，匹配原有消防系统，符合本项目工程量清单、施工图纸相关要求，符合国家相关标准、规范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15</w:t>
                  </w:r>
                </w:p>
              </w:tc>
              <w:tc>
                <w:tcPr>
                  <w:tcW w:type="dxa" w:w="638"/>
                  <w:vMerge w:val="restart"/>
                </w:tcPr>
                <w:p>
                  <w:pPr>
                    <w:pStyle w:val="null3"/>
                  </w:pPr>
                  <w:r>
                    <w:rPr>
                      <w:rFonts w:ascii="仿宋_GB2312" w:hAnsi="仿宋_GB2312" w:cs="仿宋_GB2312" w:eastAsia="仿宋_GB2312"/>
                      <w:sz w:val="19"/>
                    </w:rPr>
                    <w:t>电气</w:t>
                  </w:r>
                </w:p>
              </w:tc>
              <w:tc>
                <w:tcPr>
                  <w:tcW w:type="dxa" w:w="638"/>
                </w:tcPr>
                <w:p>
                  <w:pPr>
                    <w:pStyle w:val="null3"/>
                  </w:pPr>
                  <w:r>
                    <w:rPr>
                      <w:rFonts w:ascii="仿宋_GB2312" w:hAnsi="仿宋_GB2312" w:cs="仿宋_GB2312" w:eastAsia="仿宋_GB2312"/>
                      <w:sz w:val="19"/>
                    </w:rPr>
                    <w:t>配电箱</w:t>
                  </w:r>
                </w:p>
              </w:tc>
              <w:tc>
                <w:tcPr>
                  <w:tcW w:type="dxa" w:w="638"/>
                </w:tcPr>
                <w:p>
                  <w:pPr>
                    <w:pStyle w:val="null3"/>
                  </w:pPr>
                  <w:r>
                    <w:rPr>
                      <w:rFonts w:ascii="仿宋_GB2312" w:hAnsi="仿宋_GB2312" w:cs="仿宋_GB2312" w:eastAsia="仿宋_GB2312"/>
                      <w:sz w:val="19"/>
                    </w:rPr>
                    <w:t>1.符合本项目工程量清单、施工图纸相关要求和国家相关标准、规范；</w:t>
                  </w:r>
                </w:p>
                <w:p>
                  <w:pPr>
                    <w:pStyle w:val="null3"/>
                  </w:pPr>
                  <w:r>
                    <w:rPr>
                      <w:rFonts w:ascii="仿宋_GB2312" w:hAnsi="仿宋_GB2312" w:cs="仿宋_GB2312" w:eastAsia="仿宋_GB2312"/>
                      <w:sz w:val="19"/>
                    </w:rPr>
                    <w:t>2.箱体、元器件安装底板均采用大型钢厂冷轧钢板。配电箱箱体为喷塑，颜色为电脑灰色；安装底板应镀锌；</w:t>
                  </w:r>
                </w:p>
                <w:p>
                  <w:pPr>
                    <w:pStyle w:val="null3"/>
                  </w:pPr>
                  <w:r>
                    <w:rPr>
                      <w:rFonts w:ascii="仿宋_GB2312" w:hAnsi="仿宋_GB2312" w:cs="仿宋_GB2312" w:eastAsia="仿宋_GB2312"/>
                      <w:sz w:val="19"/>
                    </w:rPr>
                    <w:t>3.箱内布线要分色；一次线、铜排、辅料均采用合格产品。</w:t>
                  </w:r>
                </w:p>
                <w:p>
                  <w:pPr>
                    <w:pStyle w:val="null3"/>
                  </w:pPr>
                  <w:r>
                    <w:rPr>
                      <w:rFonts w:ascii="仿宋_GB2312" w:hAnsi="仿宋_GB2312" w:cs="仿宋_GB2312" w:eastAsia="仿宋_GB2312"/>
                      <w:sz w:val="19"/>
                    </w:rPr>
                    <w:t>4.施工图纸中箱体规格尺寸仅供参考，报价不再因箱体尺寸变化而变化</w:t>
                  </w:r>
                </w:p>
              </w:tc>
            </w:tr>
            <w:tr>
              <w:tc>
                <w:tcPr>
                  <w:tcW w:type="dxa" w:w="638"/>
                </w:tcPr>
                <w:p>
                  <w:pPr>
                    <w:pStyle w:val="null3"/>
                    <w:jc w:val="center"/>
                  </w:pPr>
                  <w:r>
                    <w:rPr>
                      <w:rFonts w:ascii="仿宋_GB2312" w:hAnsi="仿宋_GB2312" w:cs="仿宋_GB2312" w:eastAsia="仿宋_GB2312"/>
                      <w:sz w:val="19"/>
                    </w:rPr>
                    <w:t>16</w:t>
                  </w:r>
                </w:p>
              </w:tc>
              <w:tc>
                <w:tcPr>
                  <w:tcW w:type="dxa" w:w="638"/>
                  <w:vMerge/>
                </w:tcPr>
                <w:p/>
              </w:tc>
              <w:tc>
                <w:tcPr>
                  <w:tcW w:type="dxa" w:w="638"/>
                </w:tcPr>
                <w:p>
                  <w:pPr>
                    <w:pStyle w:val="null3"/>
                  </w:pPr>
                  <w:r>
                    <w:rPr>
                      <w:rFonts w:ascii="仿宋_GB2312" w:hAnsi="仿宋_GB2312" w:cs="仿宋_GB2312" w:eastAsia="仿宋_GB2312"/>
                      <w:sz w:val="19"/>
                    </w:rPr>
                    <w:t>电线</w:t>
                  </w:r>
                </w:p>
              </w:tc>
              <w:tc>
                <w:tcPr>
                  <w:tcW w:type="dxa" w:w="638"/>
                </w:tcPr>
                <w:p>
                  <w:pPr>
                    <w:pStyle w:val="null3"/>
                  </w:pPr>
                  <w:r>
                    <w:rPr>
                      <w:rFonts w:ascii="仿宋_GB2312" w:hAnsi="仿宋_GB2312" w:cs="仿宋_GB2312" w:eastAsia="仿宋_GB2312"/>
                      <w:sz w:val="19"/>
                    </w:rPr>
                    <w:t>采用低烟低毒阻燃型线缆、矿物绝缘类不燃性电缆等，且导体材料采用铜芯,中国机械工业百强工厂产品，符合本项目工程量清单、施工图纸相关要求，符合国家相关标准、规范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17</w:t>
                  </w:r>
                </w:p>
              </w:tc>
              <w:tc>
                <w:tcPr>
                  <w:tcW w:type="dxa" w:w="638"/>
                  <w:vMerge/>
                </w:tcPr>
                <w:p/>
              </w:tc>
              <w:tc>
                <w:tcPr>
                  <w:tcW w:type="dxa" w:w="638"/>
                </w:tcPr>
                <w:p>
                  <w:pPr>
                    <w:pStyle w:val="null3"/>
                  </w:pPr>
                  <w:r>
                    <w:rPr>
                      <w:rFonts w:ascii="仿宋_GB2312" w:hAnsi="仿宋_GB2312" w:cs="仿宋_GB2312" w:eastAsia="仿宋_GB2312"/>
                      <w:sz w:val="19"/>
                    </w:rPr>
                    <w:t>线管</w:t>
                  </w:r>
                </w:p>
              </w:tc>
              <w:tc>
                <w:tcPr>
                  <w:tcW w:type="dxa" w:w="638"/>
                </w:tcPr>
                <w:p>
                  <w:pPr>
                    <w:pStyle w:val="null3"/>
                  </w:pPr>
                  <w:r>
                    <w:rPr>
                      <w:rFonts w:ascii="仿宋_GB2312" w:hAnsi="仿宋_GB2312" w:cs="仿宋_GB2312" w:eastAsia="仿宋_GB2312"/>
                      <w:sz w:val="19"/>
                    </w:rPr>
                    <w:t>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18</w:t>
                  </w:r>
                </w:p>
              </w:tc>
              <w:tc>
                <w:tcPr>
                  <w:tcW w:type="dxa" w:w="638"/>
                  <w:vMerge/>
                </w:tcPr>
                <w:p/>
              </w:tc>
              <w:tc>
                <w:tcPr>
                  <w:tcW w:type="dxa" w:w="638"/>
                </w:tcPr>
                <w:p>
                  <w:pPr>
                    <w:pStyle w:val="null3"/>
                  </w:pPr>
                  <w:r>
                    <w:rPr>
                      <w:rFonts w:ascii="仿宋_GB2312" w:hAnsi="仿宋_GB2312" w:cs="仿宋_GB2312" w:eastAsia="仿宋_GB2312"/>
                      <w:sz w:val="19"/>
                    </w:rPr>
                    <w:t>开关/插座面板</w:t>
                  </w:r>
                </w:p>
              </w:tc>
              <w:tc>
                <w:tcPr>
                  <w:tcW w:type="dxa" w:w="638"/>
                </w:tcPr>
                <w:p>
                  <w:pPr>
                    <w:pStyle w:val="null3"/>
                  </w:pPr>
                  <w:r>
                    <w:rPr>
                      <w:rFonts w:ascii="仿宋_GB2312" w:hAnsi="仿宋_GB2312" w:cs="仿宋_GB2312" w:eastAsia="仿宋_GB2312"/>
                      <w:sz w:val="19"/>
                    </w:rPr>
                    <w:t>220V，64A/32A/16A/10A等，节能环保产品，符合本项目工程量清单、施工图纸相关要求，符合国家相关标准、规范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19</w:t>
                  </w:r>
                </w:p>
              </w:tc>
              <w:tc>
                <w:tcPr>
                  <w:tcW w:type="dxa" w:w="638"/>
                  <w:vMerge/>
                </w:tcPr>
                <w:p/>
              </w:tc>
              <w:tc>
                <w:tcPr>
                  <w:tcW w:type="dxa" w:w="638"/>
                </w:tcPr>
                <w:p>
                  <w:pPr>
                    <w:pStyle w:val="null3"/>
                  </w:pPr>
                  <w:r>
                    <w:rPr>
                      <w:rFonts w:ascii="仿宋_GB2312" w:hAnsi="仿宋_GB2312" w:cs="仿宋_GB2312" w:eastAsia="仿宋_GB2312"/>
                      <w:sz w:val="19"/>
                    </w:rPr>
                    <w:t>空气</w:t>
                  </w:r>
                </w:p>
                <w:p>
                  <w:pPr>
                    <w:pStyle w:val="null3"/>
                  </w:pPr>
                  <w:r>
                    <w:rPr>
                      <w:rFonts w:ascii="仿宋_GB2312" w:hAnsi="仿宋_GB2312" w:cs="仿宋_GB2312" w:eastAsia="仿宋_GB2312"/>
                      <w:sz w:val="19"/>
                    </w:rPr>
                    <w:t>开关</w:t>
                  </w:r>
                </w:p>
              </w:tc>
              <w:tc>
                <w:tcPr>
                  <w:tcW w:type="dxa" w:w="638"/>
                </w:tcPr>
                <w:p>
                  <w:pPr>
                    <w:pStyle w:val="null3"/>
                  </w:pPr>
                  <w:r>
                    <w:rPr>
                      <w:rFonts w:ascii="仿宋_GB2312" w:hAnsi="仿宋_GB2312" w:cs="仿宋_GB2312" w:eastAsia="仿宋_GB2312"/>
                      <w:sz w:val="19"/>
                    </w:rPr>
                    <w:t>16/32A等，带漏电保护。节能环保产品，符合本项目工程量清单、施工图纸相关要求，符合国家相关标准、规范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20</w:t>
                  </w:r>
                </w:p>
              </w:tc>
              <w:tc>
                <w:tcPr>
                  <w:tcW w:type="dxa" w:w="638"/>
                  <w:vMerge/>
                </w:tcPr>
                <w:p/>
              </w:tc>
              <w:tc>
                <w:tcPr>
                  <w:tcW w:type="dxa" w:w="638"/>
                </w:tcPr>
                <w:p>
                  <w:pPr>
                    <w:pStyle w:val="null3"/>
                  </w:pPr>
                  <w:r>
                    <w:rPr>
                      <w:rFonts w:ascii="仿宋_GB2312" w:hAnsi="仿宋_GB2312" w:cs="仿宋_GB2312" w:eastAsia="仿宋_GB2312"/>
                      <w:sz w:val="19"/>
                    </w:rPr>
                    <w:t>照明</w:t>
                  </w:r>
                </w:p>
                <w:p>
                  <w:pPr>
                    <w:pStyle w:val="null3"/>
                  </w:pPr>
                  <w:r>
                    <w:rPr>
                      <w:rFonts w:ascii="仿宋_GB2312" w:hAnsi="仿宋_GB2312" w:cs="仿宋_GB2312" w:eastAsia="仿宋_GB2312"/>
                      <w:sz w:val="19"/>
                    </w:rPr>
                    <w:t>灯具</w:t>
                  </w:r>
                </w:p>
              </w:tc>
              <w:tc>
                <w:tcPr>
                  <w:tcW w:type="dxa" w:w="638"/>
                </w:tcPr>
                <w:p>
                  <w:pPr>
                    <w:pStyle w:val="null3"/>
                  </w:pPr>
                  <w:r>
                    <w:rPr>
                      <w:rFonts w:ascii="仿宋_GB2312" w:hAnsi="仿宋_GB2312" w:cs="仿宋_GB2312" w:eastAsia="仿宋_GB2312"/>
                      <w:sz w:val="19"/>
                    </w:rPr>
                    <w:t>参数详见设计图纸、工程量清单，符合本项目工程量清单、施工图纸相关要求，符合国家相关标准、规范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21</w:t>
                  </w:r>
                </w:p>
              </w:tc>
              <w:tc>
                <w:tcPr>
                  <w:tcW w:type="dxa" w:w="638"/>
                  <w:vMerge/>
                </w:tcPr>
                <w:p/>
              </w:tc>
              <w:tc>
                <w:tcPr>
                  <w:tcW w:type="dxa" w:w="638"/>
                </w:tcPr>
                <w:p>
                  <w:pPr>
                    <w:pStyle w:val="null3"/>
                  </w:pPr>
                  <w:r>
                    <w:rPr>
                      <w:rFonts w:ascii="仿宋_GB2312" w:hAnsi="仿宋_GB2312" w:cs="仿宋_GB2312" w:eastAsia="仿宋_GB2312"/>
                      <w:sz w:val="19"/>
                    </w:rPr>
                    <w:t>双绞线</w:t>
                  </w:r>
                </w:p>
              </w:tc>
              <w:tc>
                <w:tcPr>
                  <w:tcW w:type="dxa" w:w="638"/>
                </w:tcPr>
                <w:p>
                  <w:pPr>
                    <w:pStyle w:val="null3"/>
                  </w:pPr>
                  <w:r>
                    <w:rPr>
                      <w:rFonts w:ascii="仿宋_GB2312" w:hAnsi="仿宋_GB2312" w:cs="仿宋_GB2312" w:eastAsia="仿宋_GB2312"/>
                      <w:sz w:val="19"/>
                    </w:rPr>
                    <w:t>UTP6，需现场通过校方百米传输测试，符合本项目工程量清单、施工图纸相关要求，符合国家相关标准、规范</w:t>
                  </w:r>
                </w:p>
              </w:tc>
            </w:tr>
            <w:tr>
              <w:tc>
                <w:tcPr>
                  <w:tcW w:type="dxa" w:w="638"/>
                </w:tcPr>
                <w:p>
                  <w:pPr>
                    <w:pStyle w:val="null3"/>
                    <w:jc w:val="center"/>
                  </w:pPr>
                  <w:r>
                    <w:rPr>
                      <w:rFonts w:ascii="仿宋_GB2312" w:hAnsi="仿宋_GB2312" w:cs="仿宋_GB2312" w:eastAsia="仿宋_GB2312"/>
                      <w:sz w:val="19"/>
                    </w:rPr>
                    <w:t>22</w:t>
                  </w:r>
                </w:p>
              </w:tc>
              <w:tc>
                <w:tcPr>
                  <w:tcW w:type="dxa" w:w="638"/>
                  <w:vMerge/>
                </w:tcPr>
                <w:p/>
              </w:tc>
              <w:tc>
                <w:tcPr>
                  <w:tcW w:type="dxa" w:w="638"/>
                </w:tcPr>
                <w:p>
                  <w:pPr>
                    <w:pStyle w:val="null3"/>
                  </w:pPr>
                  <w:r>
                    <w:rPr>
                      <w:rFonts w:ascii="仿宋_GB2312" w:hAnsi="仿宋_GB2312" w:cs="仿宋_GB2312" w:eastAsia="仿宋_GB2312"/>
                      <w:sz w:val="19"/>
                    </w:rPr>
                    <w:t>安全出口标识</w:t>
                  </w:r>
                </w:p>
              </w:tc>
              <w:tc>
                <w:tcPr>
                  <w:tcW w:type="dxa" w:w="638"/>
                </w:tcPr>
                <w:p>
                  <w:pPr>
                    <w:pStyle w:val="null3"/>
                  </w:pPr>
                  <w:r>
                    <w:rPr>
                      <w:rFonts w:ascii="仿宋_GB2312" w:hAnsi="仿宋_GB2312" w:cs="仿宋_GB2312" w:eastAsia="仿宋_GB2312"/>
                      <w:sz w:val="19"/>
                    </w:rPr>
                    <w:t>符合国家相关标准、规范。</w:t>
                  </w:r>
                </w:p>
              </w:tc>
            </w:tr>
            <w:tr>
              <w:tc>
                <w:tcPr>
                  <w:tcW w:type="dxa" w:w="638"/>
                </w:tcPr>
                <w:p>
                  <w:pPr>
                    <w:pStyle w:val="null3"/>
                    <w:jc w:val="center"/>
                  </w:pPr>
                  <w:r>
                    <w:rPr>
                      <w:rFonts w:ascii="仿宋_GB2312" w:hAnsi="仿宋_GB2312" w:cs="仿宋_GB2312" w:eastAsia="仿宋_GB2312"/>
                      <w:sz w:val="19"/>
                    </w:rPr>
                    <w:t>23</w:t>
                  </w:r>
                </w:p>
              </w:tc>
              <w:tc>
                <w:tcPr>
                  <w:tcW w:type="dxa" w:w="638"/>
                  <w:vMerge w:val="restart"/>
                </w:tcPr>
                <w:p>
                  <w:pPr>
                    <w:pStyle w:val="null3"/>
                  </w:pPr>
                  <w:r>
                    <w:rPr>
                      <w:rFonts w:ascii="仿宋_GB2312" w:hAnsi="仿宋_GB2312" w:cs="仿宋_GB2312" w:eastAsia="仿宋_GB2312"/>
                      <w:sz w:val="19"/>
                    </w:rPr>
                    <w:t>给排水</w:t>
                  </w:r>
                </w:p>
              </w:tc>
              <w:tc>
                <w:tcPr>
                  <w:tcW w:type="dxa" w:w="638"/>
                </w:tcPr>
                <w:p>
                  <w:pPr>
                    <w:pStyle w:val="null3"/>
                  </w:pPr>
                  <w:r>
                    <w:rPr>
                      <w:rFonts w:ascii="仿宋_GB2312" w:hAnsi="仿宋_GB2312" w:cs="仿宋_GB2312" w:eastAsia="仿宋_GB2312"/>
                      <w:sz w:val="19"/>
                    </w:rPr>
                    <w:t>PVC</w:t>
                  </w:r>
                </w:p>
                <w:p>
                  <w:pPr>
                    <w:pStyle w:val="null3"/>
                  </w:pPr>
                  <w:r>
                    <w:rPr>
                      <w:rFonts w:ascii="仿宋_GB2312" w:hAnsi="仿宋_GB2312" w:cs="仿宋_GB2312" w:eastAsia="仿宋_GB2312"/>
                      <w:sz w:val="19"/>
                    </w:rPr>
                    <w:t>水管</w:t>
                  </w:r>
                </w:p>
              </w:tc>
              <w:tc>
                <w:tcPr>
                  <w:tcW w:type="dxa" w:w="638"/>
                </w:tcPr>
                <w:p>
                  <w:pPr>
                    <w:pStyle w:val="null3"/>
                  </w:pPr>
                  <w:r>
                    <w:rPr>
                      <w:rFonts w:ascii="仿宋_GB2312" w:hAnsi="仿宋_GB2312" w:cs="仿宋_GB2312" w:eastAsia="仿宋_GB2312"/>
                      <w:sz w:val="19"/>
                    </w:rPr>
                    <w:t>1.铅限量≤100mg/kg（适用于聚氯乙烯（PVC）类塑料管材管件）；</w:t>
                  </w:r>
                </w:p>
                <w:p>
                  <w:pPr>
                    <w:pStyle w:val="null3"/>
                  </w:pPr>
                  <w:r>
                    <w:rPr>
                      <w:rFonts w:ascii="仿宋_GB2312" w:hAnsi="仿宋_GB2312" w:cs="仿宋_GB2312" w:eastAsia="仿宋_GB2312"/>
                      <w:sz w:val="19"/>
                    </w:rPr>
                    <w:t>2.密度＜1450kg/m</w:t>
                  </w:r>
                  <w:r>
                    <w:rPr>
                      <w:rFonts w:ascii="仿宋_GB2312" w:hAnsi="仿宋_GB2312" w:cs="仿宋_GB2312" w:eastAsia="仿宋_GB2312"/>
                      <w:sz w:val="19"/>
                      <w:vertAlign w:val="superscript"/>
                    </w:rPr>
                    <w:t>3</w:t>
                  </w:r>
                  <w:r>
                    <w:rPr>
                      <w:rFonts w:ascii="仿宋_GB2312" w:hAnsi="仿宋_GB2312" w:cs="仿宋_GB2312" w:eastAsia="仿宋_GB2312"/>
                      <w:sz w:val="19"/>
                    </w:rPr>
                    <w:t>；</w:t>
                  </w:r>
                </w:p>
                <w:p>
                  <w:pPr>
                    <w:pStyle w:val="null3"/>
                  </w:pPr>
                  <w:r>
                    <w:rPr>
                      <w:rFonts w:ascii="仿宋_GB2312" w:hAnsi="仿宋_GB2312" w:cs="仿宋_GB2312" w:eastAsia="仿宋_GB2312"/>
                      <w:sz w:val="19"/>
                    </w:rPr>
                    <w:t>3.内排水管道系统噪声＜48dB（适用于聚氯乙烯（PVC）类塑料管材管件）。</w:t>
                  </w:r>
                </w:p>
              </w:tc>
            </w:tr>
            <w:tr>
              <w:tc>
                <w:tcPr>
                  <w:tcW w:type="dxa" w:w="638"/>
                </w:tcPr>
                <w:p>
                  <w:pPr>
                    <w:pStyle w:val="null3"/>
                    <w:jc w:val="center"/>
                  </w:pPr>
                  <w:r>
                    <w:rPr>
                      <w:rFonts w:ascii="仿宋_GB2312" w:hAnsi="仿宋_GB2312" w:cs="仿宋_GB2312" w:eastAsia="仿宋_GB2312"/>
                      <w:sz w:val="19"/>
                    </w:rPr>
                    <w:t>24</w:t>
                  </w:r>
                </w:p>
              </w:tc>
              <w:tc>
                <w:tcPr>
                  <w:tcW w:type="dxa" w:w="638"/>
                  <w:vMerge/>
                </w:tcPr>
                <w:p/>
              </w:tc>
              <w:tc>
                <w:tcPr>
                  <w:tcW w:type="dxa" w:w="638"/>
                </w:tcPr>
                <w:p>
                  <w:pPr>
                    <w:pStyle w:val="null3"/>
                  </w:pPr>
                  <w:r>
                    <w:rPr>
                      <w:rFonts w:ascii="仿宋_GB2312" w:hAnsi="仿宋_GB2312" w:cs="仿宋_GB2312" w:eastAsia="仿宋_GB2312"/>
                      <w:sz w:val="19"/>
                    </w:rPr>
                    <w:t>洁具</w:t>
                  </w:r>
                </w:p>
              </w:tc>
              <w:tc>
                <w:tcPr>
                  <w:tcW w:type="dxa" w:w="638"/>
                </w:tcPr>
                <w:p>
                  <w:pPr>
                    <w:pStyle w:val="null3"/>
                  </w:pPr>
                  <w:r>
                    <w:rPr>
                      <w:rFonts w:ascii="仿宋_GB2312" w:hAnsi="仿宋_GB2312" w:cs="仿宋_GB2312" w:eastAsia="仿宋_GB2312"/>
                      <w:sz w:val="19"/>
                    </w:rPr>
                    <w:t>全部洁具的用水效率等级达到 2 级（依据 GB 28377、GB 28379、GB 30717、GB/T 50378）</w:t>
                  </w:r>
                </w:p>
              </w:tc>
            </w:tr>
            <w:tr>
              <w:tc>
                <w:tcPr>
                  <w:tcW w:type="dxa" w:w="638"/>
                </w:tcPr>
                <w:p>
                  <w:pPr>
                    <w:pStyle w:val="null3"/>
                    <w:jc w:val="center"/>
                  </w:pPr>
                  <w:r>
                    <w:rPr>
                      <w:rFonts w:ascii="仿宋_GB2312" w:hAnsi="仿宋_GB2312" w:cs="仿宋_GB2312" w:eastAsia="仿宋_GB2312"/>
                      <w:sz w:val="19"/>
                    </w:rPr>
                    <w:t>25</w:t>
                  </w:r>
                </w:p>
              </w:tc>
              <w:tc>
                <w:tcPr>
                  <w:tcW w:type="dxa" w:w="638"/>
                  <w:vMerge/>
                </w:tcPr>
                <w:p/>
              </w:tc>
              <w:tc>
                <w:tcPr>
                  <w:tcW w:type="dxa" w:w="638"/>
                </w:tcPr>
                <w:p>
                  <w:pPr>
                    <w:pStyle w:val="null3"/>
                  </w:pPr>
                  <w:r>
                    <w:rPr>
                      <w:rFonts w:ascii="仿宋_GB2312" w:hAnsi="仿宋_GB2312" w:cs="仿宋_GB2312" w:eastAsia="仿宋_GB2312"/>
                      <w:sz w:val="19"/>
                    </w:rPr>
                    <w:t>水咀</w:t>
                  </w:r>
                </w:p>
              </w:tc>
              <w:tc>
                <w:tcPr>
                  <w:tcW w:type="dxa" w:w="638"/>
                </w:tcPr>
                <w:p>
                  <w:pPr>
                    <w:pStyle w:val="null3"/>
                  </w:pPr>
                  <w:r>
                    <w:rPr>
                      <w:rFonts w:ascii="仿宋_GB2312" w:hAnsi="仿宋_GB2312" w:cs="仿宋_GB2312" w:eastAsia="仿宋_GB2312"/>
                      <w:sz w:val="19"/>
                    </w:rPr>
                    <w:t>不锈钢拉丝水咀，产品金属污染物析出统计值：</w:t>
                  </w:r>
                </w:p>
                <w:p>
                  <w:pPr>
                    <w:pStyle w:val="null3"/>
                  </w:pPr>
                  <w:r>
                    <w:rPr>
                      <w:rFonts w:ascii="仿宋_GB2312" w:hAnsi="仿宋_GB2312" w:cs="仿宋_GB2312" w:eastAsia="仿宋_GB2312"/>
                      <w:sz w:val="19"/>
                    </w:rPr>
                    <w:t>Pb≤4μg/L</w:t>
                  </w:r>
                </w:p>
                <w:p>
                  <w:pPr>
                    <w:pStyle w:val="null3"/>
                  </w:pPr>
                  <w:r>
                    <w:rPr>
                      <w:rFonts w:ascii="仿宋_GB2312" w:hAnsi="仿宋_GB2312" w:cs="仿宋_GB2312" w:eastAsia="仿宋_GB2312"/>
                      <w:sz w:val="19"/>
                    </w:rPr>
                    <w:t>Cu≤100μg/L</w:t>
                  </w:r>
                </w:p>
                <w:p>
                  <w:pPr>
                    <w:pStyle w:val="null3"/>
                  </w:pPr>
                  <w:r>
                    <w:rPr>
                      <w:rFonts w:ascii="仿宋_GB2312" w:hAnsi="仿宋_GB2312" w:cs="仿宋_GB2312" w:eastAsia="仿宋_GB2312"/>
                      <w:sz w:val="19"/>
                    </w:rPr>
                    <w:t>Cr≤7μg/L</w:t>
                  </w:r>
                </w:p>
                <w:p>
                  <w:pPr>
                    <w:pStyle w:val="null3"/>
                  </w:pPr>
                  <w:r>
                    <w:rPr>
                      <w:rFonts w:ascii="仿宋_GB2312" w:hAnsi="仿宋_GB2312" w:cs="仿宋_GB2312" w:eastAsia="仿宋_GB2312"/>
                      <w:sz w:val="19"/>
                    </w:rPr>
                    <w:t>Cd≤0.4μg/L</w:t>
                  </w:r>
                </w:p>
                <w:p>
                  <w:pPr>
                    <w:pStyle w:val="null3"/>
                  </w:pPr>
                  <w:r>
                    <w:rPr>
                      <w:rFonts w:ascii="仿宋_GB2312" w:hAnsi="仿宋_GB2312" w:cs="仿宋_GB2312" w:eastAsia="仿宋_GB2312"/>
                      <w:sz w:val="19"/>
                    </w:rPr>
                    <w:t>As≤0.7μg/L</w:t>
                  </w:r>
                </w:p>
                <w:p>
                  <w:pPr>
                    <w:pStyle w:val="null3"/>
                  </w:pPr>
                  <w:r>
                    <w:rPr>
                      <w:rFonts w:ascii="仿宋_GB2312" w:hAnsi="仿宋_GB2312" w:cs="仿宋_GB2312" w:eastAsia="仿宋_GB2312"/>
                      <w:sz w:val="19"/>
                    </w:rPr>
                    <w:t>Cr6+≤1.5μg/L</w:t>
                  </w:r>
                </w:p>
              </w:tc>
            </w:tr>
            <w:tr>
              <w:tc>
                <w:tcPr>
                  <w:tcW w:type="dxa" w:w="638"/>
                </w:tcPr>
                <w:p>
                  <w:pPr>
                    <w:pStyle w:val="null3"/>
                    <w:jc w:val="center"/>
                  </w:pPr>
                  <w:r>
                    <w:rPr>
                      <w:rFonts w:ascii="仿宋_GB2312" w:hAnsi="仿宋_GB2312" w:cs="仿宋_GB2312" w:eastAsia="仿宋_GB2312"/>
                      <w:sz w:val="19"/>
                    </w:rPr>
                    <w:t>26</w:t>
                  </w:r>
                </w:p>
              </w:tc>
              <w:tc>
                <w:tcPr>
                  <w:tcW w:type="dxa" w:w="638"/>
                  <w:vMerge/>
                </w:tcPr>
                <w:p/>
              </w:tc>
              <w:tc>
                <w:tcPr>
                  <w:tcW w:type="dxa" w:w="638"/>
                </w:tcPr>
                <w:p>
                  <w:pPr>
                    <w:pStyle w:val="null3"/>
                  </w:pPr>
                  <w:r>
                    <w:rPr>
                      <w:rFonts w:ascii="仿宋_GB2312" w:hAnsi="仿宋_GB2312" w:cs="仿宋_GB2312" w:eastAsia="仿宋_GB2312"/>
                      <w:sz w:val="19"/>
                    </w:rPr>
                    <w:t>大便器</w:t>
                  </w:r>
                </w:p>
              </w:tc>
              <w:tc>
                <w:tcPr>
                  <w:tcW w:type="dxa" w:w="638"/>
                </w:tcPr>
                <w:p>
                  <w:pPr>
                    <w:pStyle w:val="null3"/>
                  </w:pPr>
                  <w:r>
                    <w:rPr>
                      <w:rFonts w:ascii="仿宋_GB2312" w:hAnsi="仿宋_GB2312" w:cs="仿宋_GB2312" w:eastAsia="仿宋_GB2312"/>
                      <w:sz w:val="19"/>
                    </w:rPr>
                    <w:t>液压不锈钢脚踏冲洗阀/感应阀前排水单排蹲式大便器带存水弯，符合国家相关标准、规范。</w:t>
                  </w:r>
                </w:p>
              </w:tc>
            </w:tr>
            <w:tr>
              <w:tc>
                <w:tcPr>
                  <w:tcW w:type="dxa" w:w="638"/>
                </w:tcPr>
                <w:p>
                  <w:pPr>
                    <w:pStyle w:val="null3"/>
                    <w:jc w:val="center"/>
                  </w:pPr>
                  <w:r>
                    <w:rPr>
                      <w:rFonts w:ascii="仿宋_GB2312" w:hAnsi="仿宋_GB2312" w:cs="仿宋_GB2312" w:eastAsia="仿宋_GB2312"/>
                      <w:sz w:val="19"/>
                    </w:rPr>
                    <w:t>27</w:t>
                  </w:r>
                </w:p>
              </w:tc>
              <w:tc>
                <w:tcPr>
                  <w:tcW w:type="dxa" w:w="638"/>
                  <w:vMerge/>
                </w:tcPr>
                <w:p/>
              </w:tc>
              <w:tc>
                <w:tcPr>
                  <w:tcW w:type="dxa" w:w="638"/>
                </w:tcPr>
                <w:p>
                  <w:pPr>
                    <w:pStyle w:val="null3"/>
                  </w:pPr>
                  <w:r>
                    <w:rPr>
                      <w:rFonts w:ascii="仿宋_GB2312" w:hAnsi="仿宋_GB2312" w:cs="仿宋_GB2312" w:eastAsia="仿宋_GB2312"/>
                      <w:sz w:val="19"/>
                    </w:rPr>
                    <w:t>小便器</w:t>
                  </w:r>
                </w:p>
              </w:tc>
              <w:tc>
                <w:tcPr>
                  <w:tcW w:type="dxa" w:w="638"/>
                </w:tcPr>
                <w:p>
                  <w:pPr>
                    <w:pStyle w:val="null3"/>
                  </w:pPr>
                  <w:r>
                    <w:rPr>
                      <w:rFonts w:ascii="仿宋_GB2312" w:hAnsi="仿宋_GB2312" w:cs="仿宋_GB2312" w:eastAsia="仿宋_GB2312"/>
                      <w:sz w:val="19"/>
                    </w:rPr>
                    <w:t>上进地排分体式悬挂小便器</w:t>
                  </w:r>
                </w:p>
              </w:tc>
            </w:tr>
          </w:tbl>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响应报价要求：①磋商文件中提供的工程量清单是按照本工程施工图纸，依据《陕西省建设工程工程量清单计价规范》(2009版)中规定的项目编码、项目名称、计量单位和工程量计算规则进行编制的，请各供应商根据提供的施工图纸认真核对，并确认无误;供应商成交后，若出现磋商文件中工程量清单描述与图纸不符等错误时，此部分工程量清单项的综合单价不予调整。</w:t>
            </w:r>
          </w:p>
          <w:p>
            <w:pPr>
              <w:pStyle w:val="null3"/>
            </w:pPr>
            <w:r>
              <w:rPr>
                <w:rFonts w:ascii="仿宋_GB2312" w:hAnsi="仿宋_GB2312" w:cs="仿宋_GB2312" w:eastAsia="仿宋_GB2312"/>
              </w:rPr>
              <w:t>②供应商响应前，应仔细勘察现场，应充分了解工程建设现状与本工程发包内容相关的实际情况，应充分考虑实际情况对投标报价的影响，任何因忽视或误解现状情况而导致的索赔、价款调整或工期延长申请将不被批准。供应商应充分考虑工程建设现状与本工程计价有关的任何因素均应考虑在响应报价中。</w:t>
            </w:r>
          </w:p>
          <w:p>
            <w:pPr>
              <w:pStyle w:val="null3"/>
            </w:pPr>
            <w:r>
              <w:rPr>
                <w:rFonts w:ascii="仿宋_GB2312" w:hAnsi="仿宋_GB2312" w:cs="仿宋_GB2312" w:eastAsia="仿宋_GB2312"/>
              </w:rPr>
              <w:t>2、项目需执行的国家标准、行业标准、地方标准或者其他标准、规范：</w:t>
            </w:r>
          </w:p>
          <w:p>
            <w:pPr>
              <w:pStyle w:val="null3"/>
            </w:pPr>
            <w:r>
              <w:rPr>
                <w:rFonts w:ascii="仿宋_GB2312" w:hAnsi="仿宋_GB2312" w:cs="仿宋_GB2312" w:eastAsia="仿宋_GB2312"/>
              </w:rPr>
              <w:t>建筑工程施工质量验收统一标准（GB50300-2013）。</w:t>
            </w:r>
          </w:p>
          <w:p>
            <w:pPr>
              <w:pStyle w:val="null3"/>
            </w:pPr>
            <w:r>
              <w:rPr>
                <w:rFonts w:ascii="仿宋_GB2312" w:hAnsi="仿宋_GB2312" w:cs="仿宋_GB2312" w:eastAsia="仿宋_GB2312"/>
              </w:rPr>
              <w:t>四、其他内容详见工程量清单、图纸及现场踏勘情况。</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质量标准执行国家、陕西省、西安市现行工程质量验评标准，施工结束后提供第三方出具的空气质量检测报告。</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1、工期及编制依据：工期要求55天，根据项目实际需求及使用单位要求确定。 2、施工地点：西安建筑科技大学指定地点。 3、质保期：①本项目竣工验收合格通过之日起2年，其中防水5年；保修要求：①属于保修范围和内容的项目，供应商应在接到维修通知后，1天内派人维修。发生紧急抢修事故（如上水管跑水、爆裂，供电设施漏、断电等），供应商应在接到事故通知后 2 小时内到达事故现场并于 4 小时内完成应急维修。 4、工程质量：合格。 5、采购资金的支付方式及时间：签订合同完毕，供应商提供银行等金融机构出具的预付款保函或其他担保措施，采购人支付合同总价的40%作为预付款；签订合同完毕，供应商若无法提供预付款保函或其他担保措施，施工完成清单内全部工程内容后，支付合同额50%进度款；工程竣工验收合格后经审计部门或其委托有工程造价咨询资质的机构审定结算后，缴纳施工水电费后，支付至审定结算价的100%；但在国家规定的保修期限内，保修责任仍由供应商继续承担；本工程的工程量据实结算，若供应商报送的原始结算价超出采购人审定结算价的3％，则供应商承担全部审计费，在结算付款时一次性扣除。 6、其他要求：供应商协助完成该项目相关手续办理。（包括但不仅限于对外资料报备、资料呈递、线下办理等内容）。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 连带责任；（2）磋商保证金的提交金额、时间不满足磋商文件要求的，响应无效；（3）磋商保证金以采购代理机构到账凭证为准，供应商无需更换缴纳凭证，由采购代理机构统一提供。（4）未按指定账户提交的，我公司将退回，供应商须在文件递交截止时间前按照指定账户再次提交。 2、踏勘注意事项：（1）请各供应商在踏勘时间前，将踏勘人员姓名及手机号码发送至代理机构邮箱（453963218@qq.com）；（2）供应商因自身原因未按时进行现场踏勘，而导致的任何风险，由供应商自行承担；（3）凡因对施工现场、施工环境、市场行情等了解不清而造成的后果和风险，由供应商自行承担；（4）踏勘相关费用及安全由供应商自行承担；（5）踏勘时各供应商有疑问可以在现场提出，由采购人当场解答，否则视为供应商再无疑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注:1、此项，提供“陕西省政府采购供应商信用承诺书”的，可不再提供其他证明文件 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供应商具备建筑工程施工总承包三级及以上或建筑装修装饰工程专业承包二级及以上资质，有效期内的安全生产许可证；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拟投入的项目经理须提供贰级（含贰级）以上建筑工程类注册建造师证书及安全生产考核合格证（B证），且无其他在建工程（提供无在建工程的承诺函）；</w:t>
            </w:r>
          </w:p>
        </w:tc>
        <w:tc>
          <w:tcPr>
            <w:tcW w:type="dxa" w:w="1661"/>
          </w:tcPr>
          <w:p>
            <w:pPr>
              <w:pStyle w:val="null3"/>
            </w:pPr>
            <w:r>
              <w:rPr>
                <w:rFonts w:ascii="仿宋_GB2312" w:hAnsi="仿宋_GB2312" w:cs="仿宋_GB2312" w:eastAsia="仿宋_GB2312"/>
              </w:rPr>
              <w:t>项目管理机构组成表 1供应商资格证明文件.docx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外地企业提供在“陕西省建筑市场监管与诚信信息发布平台”企业库查询截图，要求字迹清晰可辨并加盖公章。</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磋商小组应当对供应商提交的响应文件进行初步审查，包括响应文件的有效性、完整性、符合性。除可变动的技术、服务要求以及合同草案条款外，首次提交的响应文件有下列情况之一，其响应文件无效。 (1)未按照磋商文件规定要求签署、盖章的； (2)响应有效期不足的或无有效期的； (3)报价超过磋商文件中规定的预算金额或最高限价的； (4)不满足本磋商文件中第三章“三、针对本项目的其他技术服务要求”条款内容的； (5) 已标价工程量清单的扉页（仅指投标总价扉页）未由注册或登记在本单位的造价人员签字并盖执业印章的； (6)法律、规章、规范性文件和磋商文件规定的其他无效情形。</w:t>
            </w:r>
          </w:p>
        </w:tc>
        <w:tc>
          <w:tcPr>
            <w:tcW w:type="dxa" w:w="1661"/>
          </w:tcPr>
          <w:p>
            <w:pPr>
              <w:pStyle w:val="null3"/>
            </w:pPr>
            <w:r>
              <w:rPr>
                <w:rFonts w:ascii="仿宋_GB2312" w:hAnsi="仿宋_GB2312" w:cs="仿宋_GB2312" w:eastAsia="仿宋_GB2312"/>
              </w:rPr>
              <w:t>已标价工程量清单 3商务部分偏离表.docx 中小企业声明函 1供应商资格证明文件.docx 强制优先采购产品承诺函 响应文件封面 项目管理机构组成表 主材技术要求响应偏差表.docx 残疾人福利性单位声明函 报价函 标的清单 响应函 2承诺书.docx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详细评审45.00分</w:t>
            </w:r>
          </w:p>
          <w:p>
            <w:pPr>
              <w:pStyle w:val="null3"/>
            </w:pPr>
            <w:r>
              <w:rPr>
                <w:rFonts w:ascii="仿宋_GB2312" w:hAnsi="仿宋_GB2312" w:cs="仿宋_GB2312" w:eastAsia="仿宋_GB2312"/>
              </w:rPr>
              <w:t>报价得分55.00分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对项目整体理解及施工方案</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 根据对项目整体理解内容全面，可实施性强计3分； 内容无缺项漏项，基本可行计1分； 内容有缺项漏项不计分。 2、对易发生质量通病、易出现安全问题、施工难度大、技术含量高的分项工程等进行说明并给出施工保障措施和专项技术方案（含主要施工工法、组织措施、检验手段等）： 内容完备、科学、合理、针对性强计2分； 内容简单粗略、基本可行计1分； 未提供的不计分。 3、影响本项目的外在因素和可能出现的问题进行分析，并制定相关应急预案或保证措施： 内容完备、科学、合理、针对性强计2分； 内容简单粗略、基本可行、针对性较弱计1分； 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4对项目整体理解及施工方案.docx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1、针对本项目工期、质量高的特点，制定切实可行的施工进度计划（网络图/横道图）和工期保证措施，施工顺序具体说明及施工流水段划分；工期控制要点及分级控制措施；进度监管手段、人材机组织保证。 内容完备、科学、合理、针对性强计4分； 内容简单粗略、基本可行、针对性较弱计2分； 内容欠缺、不利于项目实施计1分； 未提供的不计分。 2、针对本项目工期紧、质量高的特点，制定切实可行的现场调度、协调方案；赶工方案及奖惩措施；劳动力配置计划和生产效率及生活保障措施；检测及机具设备计划、材料准备计划及相关保证措施。 内容完备、科学、合理、针对性强计4分； 内容简单粗略、基本可行、针对性较弱计2分； 内容欠缺、不利于项目实施计1分；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质量管理体系与保证措施</w:t>
            </w:r>
          </w:p>
        </w:tc>
        <w:tc>
          <w:tcPr>
            <w:tcW w:type="dxa" w:w="2492"/>
          </w:tcPr>
          <w:p>
            <w:pPr>
              <w:pStyle w:val="null3"/>
            </w:pPr>
            <w:r>
              <w:rPr>
                <w:rFonts w:ascii="仿宋_GB2312" w:hAnsi="仿宋_GB2312" w:cs="仿宋_GB2312" w:eastAsia="仿宋_GB2312"/>
              </w:rPr>
              <w:t>1、针对本项目特点制定切实可行质量管理预控措施（各项质量目标及控制措施、质量检验和实验计划、事前控制、材料质量控制、施工机具控制等）； 内容科学、合理、针对性强计2分； 内容简单粗略、基本可行、针对性较弱计1分； 内容欠缺、不利于项目实施计0分； 未提供的不计分。 2、分部分项工程质量保证措施；成品保护和工程保修管理措施。 内容科学、合理、针对性强计2分； 内容简单粗略、基本可行、针对性较弱计1分； 内容欠缺、不利于项目实施计0分； 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6质量管理体系与保证措施.docx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1、结合工程环境、特点分析安全隐患，给出有针对性的安全生产、文明施工、环保施工、防尘降噪等保证措施。 内容完备、科学、合理、针对性强计2分； 内容简单粗略、针对性较弱计1分； 未提供不计分。 2、安全文明、环保施工保证体系和控制点设置合理，满足国家、省市相关法规规定及采购文件要求。 内容完备、科学、合理、针对性强计1分； 内容简单粗略、针对性较弱计0.5分；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7确保安全生产、文明施工的技术组织措施及环境保护措施.docx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供应商针对本项目提供的项目人员组成，技术负责人（职称、学历、工作年限），其他项目人员构成情况（岗位设置、专业种类及能力、有技术职称的人员比例）等进行赋分。 内容科学、合理、针对性强计3分； 内容简单粗略、基本可行、针对性较弱计2分； 内容欠缺、不利于项目实施计1分； 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8项目人员组成.docx</w:t>
            </w:r>
          </w:p>
        </w:tc>
      </w:tr>
      <w:tr>
        <w:tc>
          <w:tcPr>
            <w:tcW w:type="dxa" w:w="831"/>
            <w:vMerge/>
          </w:tcPr>
          <w:p/>
        </w:tc>
        <w:tc>
          <w:tcPr>
            <w:tcW w:type="dxa" w:w="1661"/>
          </w:tcPr>
          <w:p>
            <w:pPr>
              <w:pStyle w:val="null3"/>
            </w:pPr>
            <w:r>
              <w:rPr>
                <w:rFonts w:ascii="仿宋_GB2312" w:hAnsi="仿宋_GB2312" w:cs="仿宋_GB2312" w:eastAsia="仿宋_GB2312"/>
              </w:rPr>
              <w:t>拟派项目经理的职称及业绩</w:t>
            </w:r>
          </w:p>
        </w:tc>
        <w:tc>
          <w:tcPr>
            <w:tcW w:type="dxa" w:w="2492"/>
          </w:tcPr>
          <w:p>
            <w:pPr>
              <w:pStyle w:val="null3"/>
            </w:pPr>
            <w:r>
              <w:rPr>
                <w:rFonts w:ascii="仿宋_GB2312" w:hAnsi="仿宋_GB2312" w:cs="仿宋_GB2312" w:eastAsia="仿宋_GB2312"/>
              </w:rPr>
              <w:t>1、拟派项目经理具备中级及以上职称证书，计1分。 评审依据：评审时以供应商提供的加盖供应商公章的拟派项目经理最高职称证书的扫描件或复印件为准，提供多个职称证明材料的，以最高职称材料为准，未提供的不计分。 2、供应商提供拟派项目经理自2022年1月1日至今的类似业绩证明材料，每提供1项计1分，最多计2分。 备注：业绩时间以合同签订时间所体现的时间为准，合同中需要体现项目经理姓名，拟派项目经理业绩与企业业绩不可重合得分。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9拟派项目经理的职称及业绩.docx</w:t>
            </w:r>
          </w:p>
        </w:tc>
      </w:tr>
      <w:tr>
        <w:tc>
          <w:tcPr>
            <w:tcW w:type="dxa" w:w="831"/>
            <w:vMerge/>
          </w:tcPr>
          <w:p/>
        </w:tc>
        <w:tc>
          <w:tcPr>
            <w:tcW w:type="dxa" w:w="1661"/>
          </w:tcPr>
          <w:p>
            <w:pPr>
              <w:pStyle w:val="null3"/>
            </w:pPr>
            <w:r>
              <w:rPr>
                <w:rFonts w:ascii="仿宋_GB2312" w:hAnsi="仿宋_GB2312" w:cs="仿宋_GB2312" w:eastAsia="仿宋_GB2312"/>
              </w:rPr>
              <w:t>主要材料品牌、价格表</w:t>
            </w:r>
          </w:p>
        </w:tc>
        <w:tc>
          <w:tcPr>
            <w:tcW w:type="dxa" w:w="2492"/>
          </w:tcPr>
          <w:p>
            <w:pPr>
              <w:pStyle w:val="null3"/>
            </w:pPr>
            <w:r>
              <w:rPr>
                <w:rFonts w:ascii="仿宋_GB2312" w:hAnsi="仿宋_GB2312" w:cs="仿宋_GB2312" w:eastAsia="仿宋_GB2312"/>
              </w:rPr>
              <w:t>1、主要材料品牌、价格表填写完整，无缺漏项计3分。 2、主要材料规格及技术参数要求表中的主材参数、标准、要求完全满足采购文件要求的计3分，出现一项负偏离，此项不得分。 3、根据供应商针对本项目拟投入主要材料品牌、价格表的产品选型情况、品质进行评审：主要材料品牌、价格表的市场应用比例高与本次项目契合度高、为主流产品且符合相关要求，相关证明材料完整、清晰的计3分； 主要材料品牌、价格表的市场应用比例较高与本次项目契合度一般、为一般产品，相关证明材料基本完整的计2分； 主要材料品牌、价格表的市场占有率一般，相关证明材料不完整，缺失严重的计1分； 不提供不计分。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10主要材料品牌、价格表.docx</w:t>
            </w:r>
          </w:p>
        </w:tc>
      </w:tr>
      <w:tr>
        <w:tc>
          <w:tcPr>
            <w:tcW w:type="dxa" w:w="831"/>
            <w:vMerge/>
          </w:tcPr>
          <w:p/>
        </w:tc>
        <w:tc>
          <w:tcPr>
            <w:tcW w:type="dxa" w:w="1661"/>
          </w:tcPr>
          <w:p>
            <w:pPr>
              <w:pStyle w:val="null3"/>
            </w:pPr>
            <w:r>
              <w:rPr>
                <w:rFonts w:ascii="仿宋_GB2312" w:hAnsi="仿宋_GB2312" w:cs="仿宋_GB2312" w:eastAsia="仿宋_GB2312"/>
              </w:rPr>
              <w:t>节能环保、绿色建材</w:t>
            </w:r>
          </w:p>
        </w:tc>
        <w:tc>
          <w:tcPr>
            <w:tcW w:type="dxa" w:w="2492"/>
          </w:tcPr>
          <w:p>
            <w:pPr>
              <w:pStyle w:val="null3"/>
            </w:pPr>
            <w:r>
              <w:rPr>
                <w:rFonts w:ascii="仿宋_GB2312" w:hAnsi="仿宋_GB2312" w:cs="仿宋_GB2312" w:eastAsia="仿宋_GB2312"/>
              </w:rPr>
              <w:t>乳胶漆为无味、抗甲醛、绿色环保产品；所有洁具为节能产品；对所选用的装饰装修材料采用绿色环保、节能材料的； 以上内容每提供一项计0.5分，最高计2分，未提供不计分。 （以上内容需提供检测报告及相关证明材料等并加盖公章）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11节能环保、绿色建材.docx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提供供应商2022年1月1日至今(以合同签订日期为准)类似业绩证明材料，每份业绩计1分，满分3分。 备注：业绩时间以合同签订时间所体现的时间为准。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根据供应商提供的质保服务方案及承诺、与学校相关部门的配合协调承诺及优化建议等进行赋分： 方案完善、科学合理，针对性强、服务承诺明确，计3分； 方案一般、基本可行、特点和承诺不明确，计2分； 方案和承诺内容欠缺，不利于项目实施计1分；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满足磋商文件要求且最后磋商价格最低的磋商报价为评标基准价，其价格分为满分。其他供应商的价格分统一按照下列公式计算：磋商报价得分=（评标基准价/磋商报价）×55。</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详见附件：主材技术要求响应偏差表.docx</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详见附件：4对项目整体理解及施工方案.docx</w:t>
      </w:r>
    </w:p>
    <w:p>
      <w:pPr>
        <w:pStyle w:val="null3"/>
        <w:ind w:firstLine="960"/>
      </w:pPr>
      <w:r>
        <w:rPr>
          <w:rFonts w:ascii="仿宋_GB2312" w:hAnsi="仿宋_GB2312" w:cs="仿宋_GB2312" w:eastAsia="仿宋_GB2312"/>
        </w:rPr>
        <w:t>详见附件：5工程进度计划与保证措施.docx</w:t>
      </w:r>
    </w:p>
    <w:p>
      <w:pPr>
        <w:pStyle w:val="null3"/>
        <w:ind w:firstLine="960"/>
      </w:pPr>
      <w:r>
        <w:rPr>
          <w:rFonts w:ascii="仿宋_GB2312" w:hAnsi="仿宋_GB2312" w:cs="仿宋_GB2312" w:eastAsia="仿宋_GB2312"/>
        </w:rPr>
        <w:t>详见附件：6质量管理体系与保证措施.docx</w:t>
      </w:r>
    </w:p>
    <w:p>
      <w:pPr>
        <w:pStyle w:val="null3"/>
        <w:ind w:firstLine="960"/>
      </w:pPr>
      <w:r>
        <w:rPr>
          <w:rFonts w:ascii="仿宋_GB2312" w:hAnsi="仿宋_GB2312" w:cs="仿宋_GB2312" w:eastAsia="仿宋_GB2312"/>
        </w:rPr>
        <w:t>详见附件：7确保安全生产、文明施工的技术组织措施及环境保护措施.docx</w:t>
      </w:r>
    </w:p>
    <w:p>
      <w:pPr>
        <w:pStyle w:val="null3"/>
        <w:ind w:firstLine="960"/>
      </w:pPr>
      <w:r>
        <w:rPr>
          <w:rFonts w:ascii="仿宋_GB2312" w:hAnsi="仿宋_GB2312" w:cs="仿宋_GB2312" w:eastAsia="仿宋_GB2312"/>
        </w:rPr>
        <w:t>详见附件：8项目人员组成.docx</w:t>
      </w:r>
    </w:p>
    <w:p>
      <w:pPr>
        <w:pStyle w:val="null3"/>
        <w:ind w:firstLine="960"/>
      </w:pPr>
      <w:r>
        <w:rPr>
          <w:rFonts w:ascii="仿宋_GB2312" w:hAnsi="仿宋_GB2312" w:cs="仿宋_GB2312" w:eastAsia="仿宋_GB2312"/>
        </w:rPr>
        <w:t>详见附件：9拟派项目经理的职称及业绩.docx</w:t>
      </w:r>
    </w:p>
    <w:p>
      <w:pPr>
        <w:pStyle w:val="null3"/>
        <w:ind w:firstLine="960"/>
      </w:pPr>
      <w:r>
        <w:rPr>
          <w:rFonts w:ascii="仿宋_GB2312" w:hAnsi="仿宋_GB2312" w:cs="仿宋_GB2312" w:eastAsia="仿宋_GB2312"/>
        </w:rPr>
        <w:t>详见附件：10主要材料品牌、价格表.docx</w:t>
      </w:r>
    </w:p>
    <w:p>
      <w:pPr>
        <w:pStyle w:val="null3"/>
        <w:ind w:firstLine="960"/>
      </w:pPr>
      <w:r>
        <w:rPr>
          <w:rFonts w:ascii="仿宋_GB2312" w:hAnsi="仿宋_GB2312" w:cs="仿宋_GB2312" w:eastAsia="仿宋_GB2312"/>
        </w:rPr>
        <w:t>详见附件：11节能环保、绿色建材.docx</w:t>
      </w:r>
    </w:p>
    <w:p>
      <w:pPr>
        <w:pStyle w:val="null3"/>
        <w:ind w:firstLine="960"/>
      </w:pPr>
      <w:r>
        <w:rPr>
          <w:rFonts w:ascii="仿宋_GB2312" w:hAnsi="仿宋_GB2312" w:cs="仿宋_GB2312" w:eastAsia="仿宋_GB2312"/>
        </w:rPr>
        <w:t>详见附件：12服务承诺.docx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