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版本号：【KRDL】K4-250609420250627001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一卡通等系统云计算资源采购项目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【KRDL】K4-2506094</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一卡通等系统云计算资源采购项目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【KRDL】K4-2506094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一卡通等系统云计算资源采购项目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陕西科技大学一卡通等系统云计算资源采购项目，具体服务内容及要求详见本项目竞争性磋商文件。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2、磋商授权代表：供应商应授权合法的人员参加本项目磋商活动全过程；</w:t>
      </w:r>
    </w:p>
    <w:p>
      <w:pPr>
        <w:pStyle w:val="null3"/>
      </w:pPr>
      <w:r>
        <w:rPr>
          <w:rFonts w:ascii="仿宋_GB2312" w:hAnsi="仿宋_GB2312" w:cs="仿宋_GB2312" w:eastAsia="仿宋_GB2312"/>
        </w:rPr>
        <w:t>3、信誉要求：截止至响应文件递交截止时间之前，供应商未被“信用中国”网站列入失信被执行人、重大税收违法失信主体名单，未被“中国政府采购网”网站列入政府采购严重违法失信行为记录名单；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4、是否面向中、小企业采购：本项目不专门面向中、小企业采购。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刘昆、代光艳、刘如拉、贾亚妮、姚瑶、王昭、刘昆、张晨、王森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代理服务费收费标准：参照国家计委颁布的《招标代理服务收费管理暂行办法》（计价格[2002]1980号）及发改办价格[2003]857号文件的规定标准下浮35%收取，本项目代理服务费按服务计取。 备注：在对采购代理服务费或者响应保证金转账时需备注项目名称+采购代理服务费或响应保证金。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联系电话：17302920968、029-89581863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陕西科技大学一卡通等系统云计算资源采购项目，具体服务内容及要求详见本项目竞争性磋商文件。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云计算等服务采购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标的名称：云计算等服务采购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陕西科技大学校园主站</w:t>
            </w:r>
            <w:r>
              <w:rPr>
                <w:rFonts w:ascii="仿宋_GB2312" w:hAnsi="仿宋_GB2312" w:cs="仿宋_GB2312" w:eastAsia="仿宋_GB2312"/>
                <w:sz w:val="24"/>
                <w:color w:val="000000"/>
              </w:rPr>
              <w:t>www.sust.edu.cn以及各级子站、一卡通系统、移动平台、一站式服务大厅等系统目前运行于</w:t>
            </w:r>
            <w:r>
              <w:rPr>
                <w:rFonts w:ascii="仿宋_GB2312" w:hAnsi="仿宋_GB2312" w:cs="仿宋_GB2312" w:eastAsia="仿宋_GB2312"/>
                <w:sz w:val="24"/>
                <w:color w:val="000000"/>
              </w:rPr>
              <w:t>公有云</w:t>
            </w:r>
            <w:r>
              <w:rPr>
                <w:rFonts w:ascii="仿宋_GB2312" w:hAnsi="仿宋_GB2312" w:cs="仿宋_GB2312" w:eastAsia="仿宋_GB2312"/>
                <w:sz w:val="24"/>
                <w:color w:val="000000"/>
              </w:rPr>
              <w:t>，自</w:t>
            </w:r>
            <w:r>
              <w:rPr>
                <w:rFonts w:ascii="仿宋_GB2312" w:hAnsi="仿宋_GB2312" w:cs="仿宋_GB2312" w:eastAsia="仿宋_GB2312"/>
                <w:sz w:val="24"/>
                <w:color w:val="000000"/>
              </w:rPr>
              <w:t>2018年以来一直稳定运行，并为学校师生和国内外用户提供了良好的访问体验。目前，学校云账户内拟采购两部分资源，分别是云主机订阅及实时计费资源。</w:t>
            </w:r>
          </w:p>
          <w:p>
            <w:pPr>
              <w:pStyle w:val="null3"/>
              <w:ind w:firstLine="480"/>
              <w:jc w:val="both"/>
            </w:pPr>
            <w:r>
              <w:rPr>
                <w:rFonts w:ascii="仿宋_GB2312" w:hAnsi="仿宋_GB2312" w:cs="仿宋_GB2312" w:eastAsia="仿宋_GB2312"/>
                <w:sz w:val="24"/>
                <w:color w:val="000000"/>
              </w:rPr>
              <w:t>云主机订阅</w:t>
            </w:r>
            <w:r>
              <w:rPr>
                <w:rFonts w:ascii="仿宋_GB2312" w:hAnsi="仿宋_GB2312" w:cs="仿宋_GB2312" w:eastAsia="仿宋_GB2312"/>
                <w:sz w:val="24"/>
                <w:color w:val="000000"/>
              </w:rPr>
              <w:t>：</w:t>
            </w:r>
            <w:r>
              <w:rPr>
                <w:rFonts w:ascii="仿宋_GB2312" w:hAnsi="仿宋_GB2312" w:cs="仿宋_GB2312" w:eastAsia="仿宋_GB2312"/>
                <w:sz w:val="24"/>
                <w:color w:val="000000"/>
              </w:rPr>
              <w:t>需要进行年度续费，具体起始日期以学校云账号中前一期订阅服务到期时间为准，即新采购订阅从学校云账号中前一期订阅服务到期时间之日开始计算，订阅采用一次性预付采购，使用期限内，没有任何其他费用。</w:t>
            </w:r>
          </w:p>
          <w:p>
            <w:pPr>
              <w:pStyle w:val="null3"/>
              <w:ind w:firstLine="480"/>
              <w:jc w:val="both"/>
            </w:pPr>
            <w:r>
              <w:rPr>
                <w:rFonts w:ascii="仿宋_GB2312" w:hAnsi="仿宋_GB2312" w:cs="仿宋_GB2312" w:eastAsia="仿宋_GB2312"/>
                <w:sz w:val="24"/>
                <w:color w:val="000000"/>
              </w:rPr>
              <w:t>实时计费资源采购：包括网络流量、存储空间（包括主机硬盘、数据备份等）、负载均衡器、应用安全、日志系统等内容。由于此类资源是按月且按实际发生量计费，实时计费资源总费用折合成等值网络流量和存储空间进行采购，资源交付按等值金额充值到学校云账号内，可以抵扣学校云账号在合同签订之前或之后所产生该类型资源使用费用。</w:t>
            </w:r>
          </w:p>
          <w:p>
            <w:pPr>
              <w:pStyle w:val="null3"/>
              <w:ind w:firstLine="482"/>
              <w:jc w:val="both"/>
            </w:pPr>
            <w:r>
              <w:rPr>
                <w:rFonts w:ascii="仿宋_GB2312" w:hAnsi="仿宋_GB2312" w:cs="仿宋_GB2312" w:eastAsia="仿宋_GB2312"/>
                <w:sz w:val="24"/>
                <w:b/>
                <w:color w:val="000000"/>
              </w:rPr>
              <w:t>二、服务内容及要求</w:t>
            </w:r>
          </w:p>
          <w:p>
            <w:pPr>
              <w:pStyle w:val="null3"/>
              <w:ind w:firstLine="480"/>
              <w:jc w:val="both"/>
            </w:pPr>
            <w:r>
              <w:rPr>
                <w:rFonts w:ascii="仿宋_GB2312" w:hAnsi="仿宋_GB2312" w:cs="仿宋_GB2312" w:eastAsia="仿宋_GB2312"/>
                <w:sz w:val="24"/>
                <w:color w:val="000000"/>
              </w:rPr>
              <w:t>服务内容如下，第</w:t>
            </w:r>
            <w:r>
              <w:rPr>
                <w:rFonts w:ascii="仿宋_GB2312" w:hAnsi="仿宋_GB2312" w:cs="仿宋_GB2312" w:eastAsia="仿宋_GB2312"/>
                <w:sz w:val="24"/>
                <w:color w:val="000000"/>
              </w:rPr>
              <w:t>1、2项为云主机订阅，第3项为实时计费资源采购，第4项为云资源管理服务：</w:t>
            </w:r>
          </w:p>
          <w:p>
            <w:pPr>
              <w:pStyle w:val="null3"/>
              <w:ind w:firstLine="482"/>
              <w:jc w:val="both"/>
            </w:pPr>
            <w:r>
              <w:rPr>
                <w:rFonts w:ascii="仿宋_GB2312" w:hAnsi="仿宋_GB2312" w:cs="仿宋_GB2312" w:eastAsia="仿宋_GB2312"/>
                <w:sz w:val="24"/>
                <w:b/>
                <w:color w:val="000000"/>
              </w:rPr>
              <w:t>1.云计算实例</w:t>
            </w:r>
          </w:p>
          <w:p>
            <w:pPr>
              <w:pStyle w:val="null3"/>
              <w:ind w:firstLine="480"/>
              <w:jc w:val="both"/>
            </w:pPr>
            <w:r>
              <w:rPr>
                <w:rFonts w:ascii="仿宋_GB2312" w:hAnsi="仿宋_GB2312" w:cs="仿宋_GB2312" w:eastAsia="仿宋_GB2312"/>
                <w:sz w:val="24"/>
                <w:color w:val="000000"/>
              </w:rPr>
              <w:t>1.1CPU要求：</w:t>
            </w:r>
            <w:r>
              <w:rPr>
                <w:rFonts w:ascii="仿宋_GB2312" w:hAnsi="仿宋_GB2312" w:cs="仿宋_GB2312" w:eastAsia="仿宋_GB2312"/>
                <w:sz w:val="24"/>
                <w:color w:val="000000"/>
              </w:rPr>
              <w:t>48颗虚拟CPU、192内存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24核、2线程/核，3.1G，且</w:t>
            </w:r>
            <w:r>
              <w:rPr>
                <w:rFonts w:ascii="仿宋_GB2312" w:hAnsi="仿宋_GB2312" w:cs="仿宋_GB2312" w:eastAsia="仿宋_GB2312"/>
                <w:sz w:val="24"/>
                <w:color w:val="000000"/>
              </w:rPr>
              <w:t>全面兼容</w:t>
            </w:r>
            <w:r>
              <w:rPr>
                <w:rFonts w:ascii="仿宋_GB2312" w:hAnsi="仿宋_GB2312" w:cs="仿宋_GB2312" w:eastAsia="仿宋_GB2312"/>
                <w:sz w:val="24"/>
                <w:color w:val="000000"/>
              </w:rPr>
              <w:t>64位x86或</w:t>
            </w:r>
            <w:r>
              <w:rPr>
                <w:rFonts w:ascii="仿宋_GB2312" w:hAnsi="仿宋_GB2312" w:cs="仿宋_GB2312" w:eastAsia="仿宋_GB2312"/>
                <w:sz w:val="24"/>
                <w:color w:val="000000"/>
              </w:rPr>
              <w:t>更优型号</w:t>
            </w:r>
            <w:r>
              <w:rPr>
                <w:rFonts w:ascii="仿宋_GB2312" w:hAnsi="仿宋_GB2312" w:cs="仿宋_GB2312" w:eastAsia="仿宋_GB2312"/>
                <w:sz w:val="24"/>
                <w:color w:val="000000"/>
              </w:rPr>
              <w:t>，</w:t>
            </w:r>
            <w:r>
              <w:rPr>
                <w:rFonts w:ascii="仿宋_GB2312" w:hAnsi="仿宋_GB2312" w:cs="仿宋_GB2312" w:eastAsia="仿宋_GB2312"/>
                <w:sz w:val="24"/>
                <w:color w:val="000000"/>
              </w:rPr>
              <w:t>必须为当前云厂家最新一代产品）</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1.2实例性能：10 Gigabit网络性能，或更优型号；</w:t>
            </w:r>
          </w:p>
          <w:p>
            <w:pPr>
              <w:pStyle w:val="null3"/>
              <w:ind w:firstLine="480"/>
              <w:jc w:val="both"/>
            </w:pPr>
            <w:r>
              <w:rPr>
                <w:rFonts w:ascii="仿宋_GB2312" w:hAnsi="仿宋_GB2312" w:cs="仿宋_GB2312" w:eastAsia="仿宋_GB2312"/>
                <w:sz w:val="24"/>
                <w:color w:val="000000"/>
              </w:rPr>
              <w:t>1.3实例数量：3台；</w:t>
            </w:r>
          </w:p>
          <w:p>
            <w:pPr>
              <w:pStyle w:val="null3"/>
              <w:ind w:firstLine="480"/>
              <w:jc w:val="both"/>
            </w:pPr>
            <w:r>
              <w:rPr>
                <w:rFonts w:ascii="仿宋_GB2312" w:hAnsi="仿宋_GB2312" w:cs="仿宋_GB2312" w:eastAsia="仿宋_GB2312"/>
                <w:sz w:val="24"/>
                <w:color w:val="000000"/>
              </w:rPr>
              <w:t>1.4 其他要求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一次性购买</w:t>
            </w:r>
            <w:r>
              <w:rPr>
                <w:rFonts w:ascii="仿宋_GB2312" w:hAnsi="仿宋_GB2312" w:cs="仿宋_GB2312" w:eastAsia="仿宋_GB2312"/>
                <w:sz w:val="24"/>
                <w:color w:val="000000"/>
              </w:rPr>
              <w:t>3年使用权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实例存储要求：通过物理连接到主机服务器的</w:t>
            </w:r>
            <w:r>
              <w:rPr>
                <w:rFonts w:ascii="仿宋_GB2312" w:hAnsi="仿宋_GB2312" w:cs="仿宋_GB2312" w:eastAsia="仿宋_GB2312"/>
                <w:sz w:val="24"/>
                <w:color w:val="000000"/>
              </w:rPr>
              <w:t>EBS 或 NVMe SSD 提供实例存储，单一存储卷最大可扩展≥16TIB；</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配置：可以允许客户设置云计算实例中的</w:t>
            </w:r>
            <w:r>
              <w:rPr>
                <w:rFonts w:ascii="仿宋_GB2312" w:hAnsi="仿宋_GB2312" w:cs="仿宋_GB2312" w:eastAsia="仿宋_GB2312"/>
                <w:sz w:val="24"/>
                <w:color w:val="000000"/>
              </w:rPr>
              <w:t>CPU核数量以及每核的线程数量；</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r>
              <w:rPr>
                <w:rFonts w:ascii="仿宋_GB2312" w:hAnsi="仿宋_GB2312" w:cs="仿宋_GB2312" w:eastAsia="仿宋_GB2312"/>
                <w:sz w:val="24"/>
                <w:color w:val="000000"/>
              </w:rPr>
              <w:t>操作系统：允许自定义和上传操作系统映像，支持将</w:t>
            </w:r>
            <w:r>
              <w:rPr>
                <w:rFonts w:ascii="仿宋_GB2312" w:hAnsi="仿宋_GB2312" w:cs="仿宋_GB2312" w:eastAsia="仿宋_GB2312"/>
                <w:sz w:val="24"/>
                <w:color w:val="000000"/>
              </w:rPr>
              <w:t>VMware vSphere、Microsoft Hyper-V等平台的虚拟机导入到云平台中，并能创建镜像作为创建云主机的模板，并提供官方迁移工具及说明；</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r>
              <w:rPr>
                <w:rFonts w:ascii="仿宋_GB2312" w:hAnsi="仿宋_GB2312" w:cs="仿宋_GB2312" w:eastAsia="仿宋_GB2312"/>
                <w:sz w:val="24"/>
                <w:color w:val="000000"/>
              </w:rPr>
              <w:t>扩展功能：由云计算实例构成的应用服务器或</w:t>
            </w:r>
            <w:r>
              <w:rPr>
                <w:rFonts w:ascii="仿宋_GB2312" w:hAnsi="仿宋_GB2312" w:cs="仿宋_GB2312" w:eastAsia="仿宋_GB2312"/>
                <w:sz w:val="24"/>
                <w:color w:val="000000"/>
              </w:rPr>
              <w:t>Web服务器支持自动伸缩功能，支持根据监控指标（如CPU、硬盘IO、网络吞吐等）定义阈值，并且在触动阈值后能够动态增加或减少计算资源；</w:t>
            </w:r>
          </w:p>
          <w:p>
            <w:pPr>
              <w:pStyle w:val="null3"/>
              <w:ind w:firstLine="482"/>
              <w:jc w:val="both"/>
            </w:pPr>
            <w:r>
              <w:rPr>
                <w:rFonts w:ascii="仿宋_GB2312" w:hAnsi="仿宋_GB2312" w:cs="仿宋_GB2312" w:eastAsia="仿宋_GB2312"/>
                <w:sz w:val="24"/>
                <w:b/>
                <w:color w:val="000000"/>
              </w:rPr>
              <w:t>2.云数据库</w:t>
            </w:r>
          </w:p>
          <w:p>
            <w:pPr>
              <w:pStyle w:val="null3"/>
              <w:ind w:firstLine="480"/>
              <w:jc w:val="both"/>
            </w:pPr>
            <w:r>
              <w:rPr>
                <w:rFonts w:ascii="仿宋_GB2312" w:hAnsi="仿宋_GB2312" w:cs="仿宋_GB2312" w:eastAsia="仿宋_GB2312"/>
                <w:sz w:val="24"/>
                <w:color w:val="000000"/>
              </w:rPr>
              <w:t>2.1云数据库版本：</w:t>
            </w:r>
            <w:r>
              <w:rPr>
                <w:rFonts w:ascii="仿宋_GB2312" w:hAnsi="仿宋_GB2312" w:cs="仿宋_GB2312" w:eastAsia="仿宋_GB2312"/>
                <w:sz w:val="24"/>
                <w:color w:val="000000"/>
              </w:rPr>
              <w:t>全面兼容</w:t>
            </w:r>
            <w:r>
              <w:rPr>
                <w:rFonts w:ascii="仿宋_GB2312" w:hAnsi="仿宋_GB2312" w:cs="仿宋_GB2312" w:eastAsia="仿宋_GB2312"/>
                <w:sz w:val="24"/>
                <w:color w:val="000000"/>
              </w:rPr>
              <w:t>Oracle</w:t>
            </w:r>
            <w:r>
              <w:rPr>
                <w:rFonts w:ascii="仿宋_GB2312" w:hAnsi="仿宋_GB2312" w:cs="仿宋_GB2312" w:eastAsia="仿宋_GB2312"/>
                <w:sz w:val="24"/>
                <w:color w:val="000000"/>
              </w:rPr>
              <w:t>的数据库</w:t>
            </w:r>
            <w:r>
              <w:rPr>
                <w:rFonts w:ascii="仿宋_GB2312" w:hAnsi="仿宋_GB2312" w:cs="仿宋_GB2312" w:eastAsia="仿宋_GB2312"/>
                <w:sz w:val="24"/>
                <w:color w:val="000000"/>
              </w:rPr>
              <w:t>，</w:t>
            </w:r>
            <w:r>
              <w:rPr>
                <w:rFonts w:ascii="仿宋_GB2312" w:hAnsi="仿宋_GB2312" w:cs="仿宋_GB2312" w:eastAsia="仿宋_GB2312"/>
                <w:sz w:val="24"/>
                <w:color w:val="000000"/>
              </w:rPr>
              <w:t>并且是</w:t>
            </w:r>
            <w:r>
              <w:rPr>
                <w:rFonts w:ascii="仿宋_GB2312" w:hAnsi="仿宋_GB2312" w:cs="仿宋_GB2312" w:eastAsia="仿宋_GB2312"/>
                <w:sz w:val="24"/>
                <w:color w:val="000000"/>
              </w:rPr>
              <w:t>云中完全托管的数据库，即：</w:t>
            </w:r>
            <w:r>
              <w:rPr>
                <w:rFonts w:ascii="仿宋_GB2312" w:hAnsi="仿宋_GB2312" w:cs="仿宋_GB2312" w:eastAsia="仿宋_GB2312"/>
                <w:sz w:val="24"/>
                <w:color w:val="000000"/>
              </w:rPr>
              <w:t>数据库的安装、部署、维护、备份、恢复由云厂商的系统软件平台提供，而不是直接安装在云主机实例上；</w:t>
            </w:r>
          </w:p>
          <w:p>
            <w:pPr>
              <w:pStyle w:val="null3"/>
              <w:ind w:firstLine="480"/>
              <w:jc w:val="both"/>
            </w:pPr>
            <w:r>
              <w:rPr>
                <w:rFonts w:ascii="仿宋_GB2312" w:hAnsi="仿宋_GB2312" w:cs="仿宋_GB2312" w:eastAsia="仿宋_GB2312"/>
                <w:sz w:val="24"/>
                <w:color w:val="000000"/>
              </w:rPr>
              <w:t>2.2性能要求：16虚拟CPU、64G内存；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24核、2线程/核，3.1G，且</w:t>
            </w:r>
            <w:r>
              <w:rPr>
                <w:rFonts w:ascii="仿宋_GB2312" w:hAnsi="仿宋_GB2312" w:cs="仿宋_GB2312" w:eastAsia="仿宋_GB2312"/>
                <w:sz w:val="24"/>
                <w:color w:val="000000"/>
              </w:rPr>
              <w:t>全面兼容</w:t>
            </w:r>
            <w:r>
              <w:rPr>
                <w:rFonts w:ascii="仿宋_GB2312" w:hAnsi="仿宋_GB2312" w:cs="仿宋_GB2312" w:eastAsia="仿宋_GB2312"/>
                <w:sz w:val="24"/>
                <w:color w:val="000000"/>
              </w:rPr>
              <w:t>64位x86或</w:t>
            </w:r>
            <w:r>
              <w:rPr>
                <w:rFonts w:ascii="仿宋_GB2312" w:hAnsi="仿宋_GB2312" w:cs="仿宋_GB2312" w:eastAsia="仿宋_GB2312"/>
                <w:sz w:val="24"/>
                <w:color w:val="000000"/>
              </w:rPr>
              <w:t>更优型号</w:t>
            </w:r>
            <w:r>
              <w:rPr>
                <w:rFonts w:ascii="仿宋_GB2312" w:hAnsi="仿宋_GB2312" w:cs="仿宋_GB2312" w:eastAsia="仿宋_GB2312"/>
                <w:sz w:val="24"/>
                <w:color w:val="000000"/>
              </w:rPr>
              <w:t>，</w:t>
            </w:r>
            <w:r>
              <w:rPr>
                <w:rFonts w:ascii="仿宋_GB2312" w:hAnsi="仿宋_GB2312" w:cs="仿宋_GB2312" w:eastAsia="仿宋_GB2312"/>
                <w:sz w:val="24"/>
                <w:color w:val="000000"/>
              </w:rPr>
              <w:t>必须为当前云厂家最新一代产品）</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2.3数量：1台</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2.4</w:t>
            </w:r>
            <w:r>
              <w:rPr>
                <w:rFonts w:ascii="仿宋_GB2312" w:hAnsi="仿宋_GB2312" w:cs="仿宋_GB2312" w:eastAsia="仿宋_GB2312"/>
                <w:sz w:val="24"/>
                <w:color w:val="000000"/>
              </w:rPr>
              <w:t>其他要求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一次性购买</w:t>
            </w:r>
            <w:r>
              <w:rPr>
                <w:rFonts w:ascii="仿宋_GB2312" w:hAnsi="仿宋_GB2312" w:cs="仿宋_GB2312" w:eastAsia="仿宋_GB2312"/>
                <w:sz w:val="24"/>
                <w:color w:val="000000"/>
              </w:rPr>
              <w:t>3年使用权</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2.5须具备多可用区部署功能</w:t>
            </w:r>
            <w:r>
              <w:rPr>
                <w:rFonts w:ascii="仿宋_GB2312" w:hAnsi="仿宋_GB2312" w:cs="仿宋_GB2312" w:eastAsia="仿宋_GB2312"/>
                <w:sz w:val="24"/>
                <w:color w:val="000000"/>
              </w:rPr>
              <w:t>并启用该功能</w:t>
            </w:r>
            <w:r>
              <w:rPr>
                <w:rFonts w:ascii="仿宋_GB2312" w:hAnsi="仿宋_GB2312" w:cs="仿宋_GB2312" w:eastAsia="仿宋_GB2312"/>
                <w:sz w:val="24"/>
                <w:color w:val="000000"/>
              </w:rPr>
              <w:t>；</w:t>
            </w:r>
          </w:p>
          <w:p>
            <w:pPr>
              <w:pStyle w:val="null3"/>
              <w:ind w:firstLine="482"/>
              <w:jc w:val="both"/>
            </w:pPr>
            <w:r>
              <w:rPr>
                <w:rFonts w:ascii="仿宋_GB2312" w:hAnsi="仿宋_GB2312" w:cs="仿宋_GB2312" w:eastAsia="仿宋_GB2312"/>
                <w:sz w:val="24"/>
                <w:b/>
                <w:color w:val="000000"/>
              </w:rPr>
              <w:t>3.实时计费资源</w:t>
            </w:r>
          </w:p>
          <w:p>
            <w:pPr>
              <w:pStyle w:val="null3"/>
              <w:ind w:firstLine="480"/>
              <w:jc w:val="both"/>
            </w:pPr>
            <w:r>
              <w:rPr>
                <w:rFonts w:ascii="仿宋_GB2312" w:hAnsi="仿宋_GB2312" w:cs="仿宋_GB2312" w:eastAsia="仿宋_GB2312"/>
                <w:sz w:val="24"/>
                <w:color w:val="000000"/>
              </w:rPr>
              <w:t>3.1网络流量：</w:t>
            </w:r>
            <w:r>
              <w:rPr>
                <w:rFonts w:ascii="仿宋_GB2312" w:hAnsi="仿宋_GB2312" w:cs="仿宋_GB2312" w:eastAsia="仿宋_GB2312"/>
                <w:sz w:val="24"/>
                <w:color w:val="000000"/>
              </w:rPr>
              <w:t>数量：</w:t>
            </w:r>
            <w:r>
              <w:rPr>
                <w:rFonts w:ascii="仿宋_GB2312" w:hAnsi="仿宋_GB2312" w:cs="仿宋_GB2312" w:eastAsia="仿宋_GB2312"/>
                <w:sz w:val="24"/>
                <w:color w:val="000000"/>
              </w:rPr>
              <w:t>≥135TB；</w:t>
            </w:r>
          </w:p>
          <w:p>
            <w:pPr>
              <w:pStyle w:val="null3"/>
              <w:ind w:firstLine="480"/>
              <w:jc w:val="both"/>
            </w:pPr>
            <w:r>
              <w:rPr>
                <w:rFonts w:ascii="仿宋_GB2312" w:hAnsi="仿宋_GB2312" w:cs="仿宋_GB2312" w:eastAsia="仿宋_GB2312"/>
                <w:sz w:val="24"/>
                <w:color w:val="000000"/>
              </w:rPr>
              <w:t>3.2存储空间：</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1）总容量：不少于115000GB-Mo（GB月）</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2）类型：EBS 通用型 SSD；</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3）描述：通用型 SSD 卷，适用于均衡各种事务型工作负载，包括虚拟桌面、中型单实例数据库、低延迟交互式应用程序、开发和测试、启动卷等；</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4）卷大小支持：1GB–16TB；</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5）持久性：99.8%-99.9%的持久性；</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6）最大 IOPS/卷：16000；</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7）最大吞吐量/卷：1000MB/s；</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8）最大IOPS/实例：160000；</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9）最大吞吐量/实例：4750MB/s；</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10）延迟：不超过10毫秒。</w:t>
            </w:r>
          </w:p>
          <w:p>
            <w:pPr>
              <w:pStyle w:val="null3"/>
              <w:ind w:firstLine="482"/>
              <w:jc w:val="both"/>
            </w:pPr>
            <w:r>
              <w:rPr>
                <w:rFonts w:ascii="仿宋_GB2312" w:hAnsi="仿宋_GB2312" w:cs="仿宋_GB2312" w:eastAsia="仿宋_GB2312"/>
                <w:sz w:val="24"/>
                <w:b/>
                <w:color w:val="000000"/>
              </w:rPr>
              <w:t>4.云资源管理服务</w:t>
            </w:r>
          </w:p>
          <w:p>
            <w:pPr>
              <w:pStyle w:val="null3"/>
              <w:ind w:firstLine="480"/>
              <w:jc w:val="both"/>
            </w:pPr>
            <w:r>
              <w:rPr>
                <w:rFonts w:ascii="仿宋_GB2312" w:hAnsi="仿宋_GB2312" w:cs="仿宋_GB2312" w:eastAsia="仿宋_GB2312"/>
                <w:sz w:val="24"/>
                <w:color w:val="000000"/>
              </w:rPr>
              <w:t>在提供云资源的基础上，供应商应提供可持续、智能化、便于实施和操作的云资源优化工具。优化工具采用融合</w:t>
            </w:r>
            <w:r>
              <w:rPr>
                <w:rFonts w:ascii="仿宋_GB2312" w:hAnsi="仿宋_GB2312" w:cs="仿宋_GB2312" w:eastAsia="仿宋_GB2312"/>
                <w:sz w:val="24"/>
                <w:color w:val="000000"/>
              </w:rPr>
              <w:t>AI技术，提供多云资源分析、成本优化和安全评估等功能，实现学校云资源使用的精细化管理与成本控制。</w:t>
            </w:r>
            <w:r>
              <w:rPr>
                <w:rFonts w:ascii="仿宋_GB2312" w:hAnsi="仿宋_GB2312" w:cs="仿宋_GB2312" w:eastAsia="仿宋_GB2312"/>
                <w:sz w:val="24"/>
                <w:color w:val="000000"/>
              </w:rPr>
              <w:t>该项内容在合同签订前、投标结束后</w:t>
            </w:r>
            <w:r>
              <w:rPr>
                <w:rFonts w:ascii="仿宋_GB2312" w:hAnsi="仿宋_GB2312" w:cs="仿宋_GB2312" w:eastAsia="仿宋_GB2312"/>
                <w:sz w:val="24"/>
                <w:color w:val="000000"/>
              </w:rPr>
              <w:t>1个月内应进行演示验证，不符合要求投标内容无效。</w:t>
            </w:r>
          </w:p>
          <w:p>
            <w:pPr>
              <w:pStyle w:val="null3"/>
              <w:ind w:firstLine="480"/>
              <w:jc w:val="both"/>
            </w:pPr>
            <w:r>
              <w:rPr>
                <w:rFonts w:ascii="仿宋_GB2312" w:hAnsi="仿宋_GB2312" w:cs="仿宋_GB2312" w:eastAsia="仿宋_GB2312"/>
                <w:sz w:val="24"/>
                <w:color w:val="000000"/>
              </w:rPr>
              <w:t>具体功能和参数要求如下：</w:t>
            </w:r>
          </w:p>
          <w:p>
            <w:pPr>
              <w:pStyle w:val="null3"/>
              <w:ind w:firstLine="480"/>
              <w:jc w:val="both"/>
            </w:pPr>
            <w:r>
              <w:rPr>
                <w:rFonts w:ascii="仿宋_GB2312" w:hAnsi="仿宋_GB2312" w:cs="仿宋_GB2312" w:eastAsia="仿宋_GB2312"/>
                <w:sz w:val="24"/>
                <w:color w:val="000000"/>
              </w:rPr>
              <w:t>4.1多云成本分析与可视化</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1）成本分析与可视化展示；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2）费用报告的解析与导入；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3）自定义多维度费用图表与仪表盘配置；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4）成本分摊与标签归属分析；</w:t>
            </w:r>
          </w:p>
          <w:p>
            <w:pPr>
              <w:pStyle w:val="null3"/>
              <w:ind w:firstLine="480"/>
              <w:jc w:val="both"/>
            </w:pPr>
            <w:r>
              <w:rPr>
                <w:rFonts w:ascii="仿宋_GB2312" w:hAnsi="仿宋_GB2312" w:cs="仿宋_GB2312" w:eastAsia="仿宋_GB2312"/>
                <w:sz w:val="24"/>
                <w:color w:val="000000"/>
              </w:rPr>
              <w:t>4.2云资产扫描与资源映射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1）云资源资产扫描；</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2）多账户/多订阅的统一资产视图；</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3）资源利用率统计与冗余识别；</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4）组织架构视图报告与资源归属报告；</w:t>
            </w:r>
          </w:p>
          <w:p>
            <w:pPr>
              <w:pStyle w:val="null3"/>
              <w:ind w:firstLine="480"/>
              <w:jc w:val="both"/>
            </w:pPr>
            <w:r>
              <w:rPr>
                <w:rFonts w:ascii="仿宋_GB2312" w:hAnsi="仿宋_GB2312" w:cs="仿宋_GB2312" w:eastAsia="仿宋_GB2312"/>
                <w:sz w:val="24"/>
                <w:color w:val="000000"/>
              </w:rPr>
              <w:t>4.3成本优化与智能建议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1）RI与SP智能推荐；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2）无用资源识别与回收建议；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3）资源调优建议；</w:t>
            </w:r>
          </w:p>
          <w:p>
            <w:pPr>
              <w:pStyle w:val="null3"/>
              <w:ind w:firstLine="480"/>
              <w:jc w:val="both"/>
            </w:pPr>
            <w:r>
              <w:rPr>
                <w:rFonts w:ascii="仿宋_GB2312" w:hAnsi="仿宋_GB2312" w:cs="仿宋_GB2312" w:eastAsia="仿宋_GB2312"/>
                <w:sz w:val="24"/>
                <w:color w:val="000000"/>
              </w:rPr>
              <w:t>4.4云安全与合规评估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1）安全最佳实践检查；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2）安全合规基线检查；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3）身份与访问控制配置检查；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4）安全配置检查；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5）安全风险扫描报告生成；</w:t>
            </w:r>
          </w:p>
          <w:p>
            <w:pPr>
              <w:pStyle w:val="null3"/>
              <w:ind w:firstLine="480"/>
              <w:jc w:val="both"/>
            </w:pPr>
            <w:r>
              <w:rPr>
                <w:rFonts w:ascii="仿宋_GB2312" w:hAnsi="仿宋_GB2312" w:cs="仿宋_GB2312" w:eastAsia="仿宋_GB2312"/>
                <w:sz w:val="24"/>
                <w:color w:val="000000"/>
              </w:rPr>
              <w:t>4.5可靠性与运维建议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1）可靠性最佳实践评估；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2）运维优化建议；</w:t>
            </w:r>
          </w:p>
          <w:p>
            <w:pPr>
              <w:pStyle w:val="null3"/>
              <w:ind w:firstLine="480"/>
              <w:jc w:val="both"/>
            </w:pPr>
            <w:r>
              <w:rPr>
                <w:rFonts w:ascii="仿宋_GB2312" w:hAnsi="仿宋_GB2312" w:cs="仿宋_GB2312" w:eastAsia="仿宋_GB2312"/>
                <w:sz w:val="24"/>
                <w:color w:val="000000"/>
              </w:rPr>
              <w:t>4.6可持续云评估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1）碳排放评估；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2）绿色资源使用率报告；</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3）仪表盘展示；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4）云环境绿色评级与优化建议；</w:t>
            </w:r>
          </w:p>
          <w:p>
            <w:pPr>
              <w:pStyle w:val="null3"/>
              <w:ind w:firstLine="480"/>
              <w:jc w:val="both"/>
            </w:pPr>
            <w:r>
              <w:rPr>
                <w:rFonts w:ascii="仿宋_GB2312" w:hAnsi="仿宋_GB2312" w:cs="仿宋_GB2312" w:eastAsia="仿宋_GB2312"/>
                <w:sz w:val="24"/>
                <w:color w:val="000000"/>
              </w:rPr>
              <w:t>4.7AI基础设施成本与运维管理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1）实例成本监控；</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2）GPU使用率分析与优化建议；</w:t>
            </w:r>
          </w:p>
          <w:p>
            <w:pPr>
              <w:pStyle w:val="null3"/>
              <w:ind w:firstLine="480"/>
              <w:jc w:val="both"/>
            </w:pPr>
            <w:r>
              <w:rPr>
                <w:rFonts w:ascii="仿宋_GB2312" w:hAnsi="仿宋_GB2312" w:cs="仿宋_GB2312" w:eastAsia="仿宋_GB2312"/>
                <w:sz w:val="24"/>
                <w:color w:val="000000"/>
              </w:rPr>
              <w:t>4.8资源管理与标签治理</w:t>
            </w:r>
          </w:p>
          <w:p>
            <w:pPr>
              <w:pStyle w:val="null3"/>
              <w:ind w:firstLine="960"/>
              <w:jc w:val="both"/>
            </w:pPr>
            <w:r>
              <w:rPr>
                <w:rFonts w:ascii="仿宋_GB2312" w:hAnsi="仿宋_GB2312" w:cs="仿宋_GB2312" w:eastAsia="仿宋_GB2312"/>
                <w:sz w:val="24"/>
                <w:color w:val="000000"/>
              </w:rPr>
              <w:t>标签应用与治理支持</w:t>
            </w:r>
          </w:p>
          <w:p>
            <w:pPr>
              <w:pStyle w:val="null3"/>
              <w:ind w:firstLine="480"/>
              <w:jc w:val="both"/>
            </w:pPr>
            <w:r>
              <w:rPr>
                <w:rFonts w:ascii="仿宋_GB2312" w:hAnsi="仿宋_GB2312" w:cs="仿宋_GB2312" w:eastAsia="仿宋_GB2312"/>
                <w:sz w:val="24"/>
                <w:color w:val="000000"/>
              </w:rPr>
              <w:t>4.9报告与评估支持</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1）成本与资源使用趋势月报；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2）安全合规与优化执行进度报告；</w:t>
            </w:r>
          </w:p>
          <w:p>
            <w:pPr>
              <w:pStyle w:val="null3"/>
              <w:ind w:firstLine="482"/>
              <w:jc w:val="both"/>
            </w:pPr>
            <w:r>
              <w:rPr>
                <w:rFonts w:ascii="仿宋_GB2312" w:hAnsi="仿宋_GB2312" w:cs="仿宋_GB2312" w:eastAsia="仿宋_GB2312"/>
                <w:sz w:val="24"/>
                <w:b/>
                <w:color w:val="000000"/>
              </w:rPr>
              <w:t>5.其他服务要求</w:t>
            </w:r>
          </w:p>
          <w:p>
            <w:pPr>
              <w:pStyle w:val="null3"/>
              <w:ind w:firstLine="480"/>
              <w:jc w:val="both"/>
            </w:pPr>
            <w:r>
              <w:rPr>
                <w:rFonts w:ascii="仿宋_GB2312" w:hAnsi="仿宋_GB2312" w:cs="仿宋_GB2312" w:eastAsia="仿宋_GB2312"/>
                <w:sz w:val="24"/>
                <w:color w:val="000000"/>
              </w:rPr>
              <w:t>5.1供应商须将服务授权按采购人要求部署至采购人现有账户中；</w:t>
            </w:r>
          </w:p>
          <w:p>
            <w:pPr>
              <w:pStyle w:val="null3"/>
              <w:ind w:firstLine="480"/>
              <w:jc w:val="both"/>
            </w:pPr>
            <w:r>
              <w:rPr>
                <w:rFonts w:ascii="仿宋_GB2312" w:hAnsi="仿宋_GB2312" w:cs="仿宋_GB2312" w:eastAsia="仿宋_GB2312"/>
                <w:sz w:val="24"/>
                <w:color w:val="000000"/>
              </w:rPr>
              <w:t>5.2供应商应在服务期内提供系统维护与技术支持；</w:t>
            </w:r>
          </w:p>
          <w:p>
            <w:pPr>
              <w:pStyle w:val="null3"/>
              <w:ind w:firstLine="480"/>
              <w:jc w:val="both"/>
            </w:pPr>
            <w:r>
              <w:rPr>
                <w:rFonts w:ascii="仿宋_GB2312" w:hAnsi="仿宋_GB2312" w:cs="仿宋_GB2312" w:eastAsia="仿宋_GB2312"/>
                <w:sz w:val="24"/>
                <w:color w:val="000000"/>
              </w:rPr>
              <w:t>5.3供应商应提供日常培训与咨询服务；</w:t>
            </w:r>
          </w:p>
          <w:p>
            <w:pPr>
              <w:pStyle w:val="null3"/>
              <w:ind w:firstLine="480"/>
              <w:jc w:val="both"/>
            </w:pPr>
            <w:r>
              <w:rPr>
                <w:rFonts w:ascii="仿宋_GB2312" w:hAnsi="仿宋_GB2312" w:cs="仿宋_GB2312" w:eastAsia="仿宋_GB2312"/>
                <w:sz w:val="24"/>
                <w:color w:val="000000"/>
              </w:rPr>
              <w:t>5.4供应商不能更改目前学校目前使用的云计算帐户以及所有的运行环境。</w:t>
            </w:r>
          </w:p>
          <w:p>
            <w:pPr>
              <w:pStyle w:val="null3"/>
              <w:ind w:firstLine="480"/>
              <w:jc w:val="both"/>
            </w:pPr>
            <w:r>
              <w:rPr>
                <w:rFonts w:ascii="仿宋_GB2312" w:hAnsi="仿宋_GB2312" w:cs="仿宋_GB2312" w:eastAsia="仿宋_GB2312"/>
                <w:sz w:val="24"/>
                <w:color w:val="000000"/>
              </w:rPr>
              <w:t>5.5 供应商提供的服务，如不在当前云数据中心，应提供全面的迁移服务，包括额外涉及到的关联系统和设备改造升级或迁移，达到和目前使用完全一致的功能、性能和安全水平，供应商自行负担额外产生的所有费用，相关费用包含在响应报价中，采购人不再另行支付。</w:t>
            </w:r>
          </w:p>
          <w:p>
            <w:pPr>
              <w:pStyle w:val="null3"/>
              <w:ind w:firstLine="482"/>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本项目云计算实例及云数据库服务期限为自合同签订之日起3年；实时计费资源及云资源管理服务服务期限为1年，合作满一年，双方无异议，合同自动顺延至下一个年度，总服务期不超过三年。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合同签订后，乙方向甲方开具全额发票，甲方向乙方支付合同总金额的100.00%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1份、副本1份，纸质响应文件正副本分别胶装，标明供应商名称密封递交，递交截止时间同在线递交电子响应文件截止时间一致，线下递交文件地点：开瑞项目管理有限公司（陕西省西安市莲湖区高新二路1号招商银行大厦19层前台，联系人：代光艳、刘如拉，联系电话：15229797656、17302920968）,若电子响应文件与纸质响应文件不一致的，以电子响应文件为准。 2.响应保证金注意事项：（1）响应保证金须从供应商户名支付，如从个人户名或非供应商户名支付，将被拒绝，视为自动放弃投标权利（该个人是供应商的情形除外）；响应保证金缴纳时间：开标时间之前；以保函形式交纳响应保证金的，供应商应在投标截止时间前将保函扫描成清晰的PDF文件，发送至邮箱1164166825@qq.com（邮件命名：项目名称及包段名称+项目编号）；供应商应在响应文件中附保函复印件。保函必须由具有开具投标保函资格的单位开具；若供应商违约，开具保函单位承担连带责任；（2）响应保证金的提交金额、时间不满足磋商文件要求的，投标无效；（3）供应商未按指定账户提交响应保证金的，我公司将退回，供应商须在文件递交截止时间前按照指定账户再次提交。 3.各供应商响应总报价不得超过采购预算及磋商最高限价，否则按无效响应处理。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会计师事务所出具的有效的2023或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供应商应授权合法的人员参加本项目磋商活动全过程；</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响应文件按竞争性磋商文件要求签署、盖章的</w:t>
            </w:r>
          </w:p>
        </w:tc>
        <w:tc>
          <w:tcPr>
            <w:tcW w:type="dxa" w:w="1661"/>
          </w:tcPr>
          <w:p>
            <w:pPr>
              <w:pStyle w:val="null3"/>
            </w:pPr>
            <w:r>
              <w:rPr>
                <w:rFonts w:ascii="仿宋_GB2312" w:hAnsi="仿宋_GB2312" w:cs="仿宋_GB2312" w:eastAsia="仿宋_GB2312"/>
              </w:rPr>
              <w:t>售后服务方案.docx 服务内容及服务邀请应答表 培训服务方案.docx 中小企业声明函 商务应答表 企业业绩.docx 承诺书.docx 报价表 分项报价单.docx 拟派团队人员及管理措施.docx 后期服务承诺及合理化建议.docx 响应文件封面 供应商应提交的资格证明文件.docx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标的清单 报价表 分项报价单.docx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售后服务方案.docx 服务内容及服务邀请应答表 培训服务方案.docx 中小企业声明函 商务应答表 企业业绩.docx 承诺书.docx 报价表 分项报价单.docx 拟派团队人员及管理措施.docx 后期服务承诺及合理化建议.docx 响应文件封面 供应商应提交的资格证明文件.docx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售后服务方案.docx 服务内容及服务邀请应答表 培训服务方案.docx 中小企业声明函 商务应答表 企业业绩.docx 承诺书.docx 报价表 分项报价单.docx 拟派团队人员及管理措施.docx 后期服务承诺及合理化建议.docx 响应文件封面 供应商应提交的资格证明文件.docx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服务内容及要求响应情况</w:t>
            </w:r>
          </w:p>
        </w:tc>
        <w:tc>
          <w:tcPr>
            <w:tcW w:type="dxa" w:w="2492"/>
          </w:tcPr>
          <w:p>
            <w:pPr>
              <w:pStyle w:val="null3"/>
            </w:pPr>
            <w:r>
              <w:rPr>
                <w:rFonts w:ascii="仿宋_GB2312" w:hAnsi="仿宋_GB2312" w:cs="仿宋_GB2312" w:eastAsia="仿宋_GB2312"/>
              </w:rPr>
              <w:t>根据供应商针对服务内容及要求响应情况进行评审： 供应商完全响应本项目服务内容及要求条款的得20分，每1项条款负偏离的扣1分，扣完为止。 备注：供应商需对提供的资源进行说明并提供相关佐证材料，供应商应在磋商响应文件中给出明确的证明材料索引。</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1.根据供应商针对本项目服务内容提供的整体目标把控措施及总体服务计划进行评审： 目标把控措施科学、合理、规范性和可操作性强，完全满足采购人要求的得3.1-5分； 目标把控措施科学、合理，内容稍有欠缺，但能够达到采购人的服务要求的得1.1-3分； 目标把控措施有缺漏、需求掌握表述混乱，内容不合理的得0.1-1分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2.根据供应商针对本项目详细列出服务实施方案（包括针对总体服务要求所列出的①组织架构；②资源功能点设计等）进行评审： 实施方案完整，内容科学合理、满足项目要求，合理性、针对性强得3.1-5分； 实施方案完整，内容基本可行，但合理性、针对性稍有欠缺的得1.1-3分； 实施方案不完整，内容有部分缺漏，合理性、针对性较差的得0-1分； 未提供服务方案的得0分。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3.根据供应商针对本项目的重难点分析（包含①服务过程中的重难点工作；②针对重难点工作提出对应的解决方案及措施）进行评审： 措施方案完整，内容科学合理、满足项目要求，合理性、针对性强得3.1-5分； 措施方案完整，内容基本可行，但合理性、针对性稍有欠缺的得1.1-3分； 措施方案不完整，内容有部分缺漏，合理性、针对性较差的得0.1-1分； 未提供服务方案的得0分。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4.根据供应商针对本项目提供的服务质量保证的管理措施方案进行评审： 措施方案完整，内容科学合理、满足项目要求，合理性、针对性强得3.1-5分； 措施方案完整，内容基本可行，但合理性、针对性稍有欠缺的得1.1-3分； 措施方案不完整，内容有部分缺漏，合理性、针对性较差的得0-1分； 未提供服务方案的得0分。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5.根据供应商针对本项目提供的服务进度保证的管理措施方案进行评审： 措施方案完整，内容科学合理、满足项目要求，合理性、针对性强得3.1-5分； 措施方案完整，内容基本可行，但合理性、针对性稍有欠缺的得1.1-3分； 措施方案不完整，内容有部分缺漏，合理性、针对性较差的得0-1分； 未提供服务方案的得0分。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根据供应商针对本项目：人员培训、系统管理培训、系统运行维护培训制定详细、可行的培训方案，方案包含：①培训内容、时间及人数；②人员培训、业务人员的培训及授课讲师的专业程度进行评审： 培训方案各项要求有详细描述，能够紧扣项目实际情况，内容科学合理，完全满足采购需求的得3.1-5分。 培训方案可实施性较强，相对合理的能够满足采购的要求得1.1-3分。 培训方案简单粗略，各项内容有缺漏，可实施性差，无法满足采购需求的得0.1-2分。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培训服务方案.docx</w:t>
            </w:r>
          </w:p>
        </w:tc>
      </w:tr>
      <w:tr>
        <w:tc>
          <w:tcPr>
            <w:tcW w:type="dxa" w:w="831"/>
            <w:vMerge/>
          </w:tcPr>
          <w:p/>
        </w:tc>
        <w:tc>
          <w:tcPr>
            <w:tcW w:type="dxa" w:w="1661"/>
          </w:tcPr>
          <w:p>
            <w:pPr>
              <w:pStyle w:val="null3"/>
            </w:pPr>
            <w:r>
              <w:rPr>
                <w:rFonts w:ascii="仿宋_GB2312" w:hAnsi="仿宋_GB2312" w:cs="仿宋_GB2312" w:eastAsia="仿宋_GB2312"/>
              </w:rPr>
              <w:t>拟派团队人员及管理措施1</w:t>
            </w:r>
          </w:p>
        </w:tc>
        <w:tc>
          <w:tcPr>
            <w:tcW w:type="dxa" w:w="2492"/>
          </w:tcPr>
          <w:p>
            <w:pPr>
              <w:pStyle w:val="null3"/>
            </w:pPr>
            <w:r>
              <w:rPr>
                <w:rFonts w:ascii="仿宋_GB2312" w:hAnsi="仿宋_GB2312" w:cs="仿宋_GB2312" w:eastAsia="仿宋_GB2312"/>
              </w:rPr>
              <w:t>1.根据供应商提供的项目组成员名单（配备的人员数量、学历、专业等）进行评审： 人员配备充足，各岗位人员专业背景与项目需求贴合的得3.1-5分； 人员配备稍有欠缺，各岗位人员的专业背景与项目需求贴合的得1.1-3分； 人员配备不足，部分关键岗位人员缺失或专业背景与项目需求不符的得0.1-1分；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拟派团队人员及管理措施.docx</w:t>
            </w:r>
          </w:p>
        </w:tc>
      </w:tr>
      <w:tr>
        <w:tc>
          <w:tcPr>
            <w:tcW w:type="dxa" w:w="831"/>
            <w:vMerge/>
          </w:tcPr>
          <w:p/>
        </w:tc>
        <w:tc>
          <w:tcPr>
            <w:tcW w:type="dxa" w:w="1661"/>
          </w:tcPr>
          <w:p>
            <w:pPr>
              <w:pStyle w:val="null3"/>
            </w:pPr>
            <w:r>
              <w:rPr>
                <w:rFonts w:ascii="仿宋_GB2312" w:hAnsi="仿宋_GB2312" w:cs="仿宋_GB2312" w:eastAsia="仿宋_GB2312"/>
              </w:rPr>
              <w:t>拟派团队人员及管理措施2</w:t>
            </w:r>
          </w:p>
        </w:tc>
        <w:tc>
          <w:tcPr>
            <w:tcW w:type="dxa" w:w="2492"/>
          </w:tcPr>
          <w:p>
            <w:pPr>
              <w:pStyle w:val="null3"/>
            </w:pPr>
            <w:r>
              <w:rPr>
                <w:rFonts w:ascii="仿宋_GB2312" w:hAnsi="仿宋_GB2312" w:cs="仿宋_GB2312" w:eastAsia="仿宋_GB2312"/>
              </w:rPr>
              <w:t>2.根据供应商针对本项目拟派的项目实施团队人员职责及管理制度进行评审： 人员配备设置合理，分工明确、职责清晰，能完全满足本项目服务需求得3.1-5分； 人员配备设置较合理，分工及岗位职责稍有欠缺，但能基本满足本项目服务需求得1.1-3分； 人员配备设置不合理，分工及岗位职责缺项、漏项，无法保证本项目服务需求得0.1-1分；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拟派团队人员及管理措施.docx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1.根据供应商针对本项目提供的售后服务方案（包括但不限于①服务标准；②响应时间；③资源更新维护、售后服务承诺等）进行评审： 售后服务方案有具体、详细、可行的方案及措施，对响应及上门时间有明确表述，能够完全满足服务需求的得3.1-5分； 售后服务方案及措施基本可行，对响应及上门时间内容稍有欠缺的，但基本能够满足服务需求的得1.1-3分； 售后服务方案及措施欠缺较多，对响应及上门时间有相应表述，不能完全满足服务需求的得0.1-1分；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2.根据供应商提供的针对本项目服务过程中出现问题的应急方案进行评审： 应急方案完善、科学合理，针对性强、服务承诺明确的得3.1-5分； 应急方案较完整、合理可行、特点和承诺内容稍有欠缺的得1.1-3分； 应急方案完整性、合理性差的得0.1-1分；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后期服务承诺及合理化建议</w:t>
            </w:r>
          </w:p>
        </w:tc>
        <w:tc>
          <w:tcPr>
            <w:tcW w:type="dxa" w:w="2492"/>
          </w:tcPr>
          <w:p>
            <w:pPr>
              <w:pStyle w:val="null3"/>
            </w:pPr>
            <w:r>
              <w:rPr>
                <w:rFonts w:ascii="仿宋_GB2312" w:hAnsi="仿宋_GB2312" w:cs="仿宋_GB2312" w:eastAsia="仿宋_GB2312"/>
              </w:rPr>
              <w:t>1.根据供应商针对本项目提供的后期服务承诺及合理化建议进行评审： 供应商针对本项目提供的后期服务承诺全面详细，合理化建议科学合理的得2.1-3分； 供应商针对本项目提供的后期服务承诺基本全面、合理化建议一般的得1.1-2分； 供应商针对本项目提供的后期服务承诺不全面，合理化建议不合理的得0.1-1分； 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后期服务承诺及合理化建议.docx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2.根据供应商提供包含“针对本项目服务需求中提供的全部成果文件为原创，不得抄袭；如成果中含有的非原创性的内容，必须确保无知识产权争议。如有任何侵权行为均由供应商承担相应责任和赔偿。”内容的承诺进行评审。 响应文件中提供以上内容的承诺书得2分，未提供或提供承诺内容不全的得0分。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供应商提供该供应商自2022年6月1日起至今已完成的类似项目业绩证明材料。每提供1项业绩证明材料的得1分，本项最多得5分。 备注：业绩证明材料以合同为准，时间以合同体现时间为准，供应商应在响应文件中提供合同复印件或扫描件加盖单位公章。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评分法中的价格分统一采用低价优先法计算，即满足磋商文件要求且最后报价最低的供应商的价格为磋商基准价，其价格分为满分。其他供应商的价格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详见附件：培训服务方案.docx</w:t>
      </w:r>
    </w:p>
    <w:p>
      <w:pPr>
        <w:pStyle w:val="null3"/>
        <w:ind w:firstLine="960"/>
      </w:pPr>
      <w:r>
        <w:rPr>
          <w:rFonts w:ascii="仿宋_GB2312" w:hAnsi="仿宋_GB2312" w:cs="仿宋_GB2312" w:eastAsia="仿宋_GB2312"/>
        </w:rPr>
        <w:t>详见附件：拟派团队人员及管理措施.docx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详见附件：后期服务承诺及合理化建议.docx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详见附件：供应商应提交的资格证明文件.docx</w:t>
      </w:r>
    </w:p>
    <w:p>
      <w:pPr>
        <w:pStyle w:val="null3"/>
        <w:ind w:firstLine="960"/>
      </w:pPr>
      <w:r>
        <w:rPr>
          <w:rFonts w:ascii="仿宋_GB2312" w:hAnsi="仿宋_GB2312" w:cs="仿宋_GB2312" w:eastAsia="仿宋_GB2312"/>
        </w:rPr>
        <w:t>详见附件：分项报价单.docx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