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0D8102">
      <w:pPr>
        <w:pStyle w:val="2"/>
        <w:numPr>
          <w:numId w:val="0"/>
        </w:numPr>
        <w:jc w:val="center"/>
      </w:pPr>
      <w:bookmarkStart w:id="0" w:name="_Toc23654"/>
      <w:bookmarkStart w:id="1" w:name="_Toc12689"/>
      <w:r>
        <w:rPr>
          <w:rFonts w:hint="eastAsia"/>
        </w:rPr>
        <w:t>拟签订采购合同文本</w:t>
      </w:r>
      <w:bookmarkEnd w:id="0"/>
      <w:bookmarkEnd w:id="1"/>
    </w:p>
    <w:p w14:paraId="65CC024B">
      <w:pPr>
        <w:bidi w:val="0"/>
        <w:jc w:val="center"/>
        <w:rPr>
          <w:rFonts w:hint="eastAsia"/>
          <w:highlight w:val="none"/>
        </w:rPr>
      </w:pPr>
    </w:p>
    <w:p w14:paraId="14CF1263">
      <w:pPr>
        <w:bidi w:val="0"/>
        <w:jc w:val="center"/>
        <w:rPr>
          <w:rFonts w:hint="eastAsia"/>
          <w:highlight w:val="none"/>
        </w:rPr>
      </w:pPr>
      <w:r>
        <w:rPr>
          <w:rFonts w:hint="eastAsia"/>
          <w:highlight w:val="none"/>
        </w:rPr>
        <w:t>（合同签订时</w:t>
      </w:r>
      <w:r>
        <w:rPr>
          <w:rFonts w:hint="eastAsia"/>
          <w:highlight w:val="none"/>
          <w:lang w:eastAsia="zh-CN"/>
        </w:rPr>
        <w:t>采购人</w:t>
      </w:r>
      <w:r>
        <w:rPr>
          <w:rFonts w:hint="eastAsia"/>
          <w:highlight w:val="none"/>
        </w:rPr>
        <w:t>有权根据</w:t>
      </w:r>
      <w:r>
        <w:rPr>
          <w:rFonts w:hint="eastAsia"/>
          <w:highlight w:val="none"/>
          <w:lang w:eastAsia="zh-CN"/>
        </w:rPr>
        <w:t>供应商</w:t>
      </w:r>
      <w:r>
        <w:rPr>
          <w:rFonts w:hint="eastAsia"/>
          <w:highlight w:val="none"/>
        </w:rPr>
        <w:t>响应文件中的内容及承诺对合同内容进行补充和完善）</w:t>
      </w:r>
    </w:p>
    <w:p w14:paraId="54457123">
      <w:pPr>
        <w:pStyle w:val="4"/>
        <w:adjustRightInd w:val="0"/>
        <w:snapToGrid w:val="0"/>
        <w:spacing w:line="360" w:lineRule="auto"/>
        <w:ind w:firstLine="0"/>
        <w:rPr>
          <w:rFonts w:hint="eastAsia" w:hAnsi="宋体" w:cs="宋体"/>
          <w:color w:val="000000"/>
          <w:sz w:val="44"/>
          <w:szCs w:val="44"/>
          <w:highlight w:val="none"/>
        </w:rPr>
      </w:pPr>
    </w:p>
    <w:p w14:paraId="0639962D">
      <w:pPr>
        <w:pStyle w:val="5"/>
        <w:rPr>
          <w:highlight w:val="none"/>
        </w:rPr>
      </w:pPr>
    </w:p>
    <w:p w14:paraId="25C4F5D6">
      <w:pPr>
        <w:spacing w:line="360" w:lineRule="auto"/>
        <w:jc w:val="center"/>
        <w:rPr>
          <w:rFonts w:hint="eastAsia" w:ascii="宋体" w:hAnsi="宋体" w:cs="宋体"/>
          <w:b/>
          <w:bCs/>
          <w:sz w:val="48"/>
          <w:szCs w:val="56"/>
          <w:lang w:eastAsia="zh-CN"/>
        </w:rPr>
      </w:pPr>
      <w:bookmarkStart w:id="54" w:name="_GoBack"/>
      <w:r>
        <w:rPr>
          <w:rFonts w:hint="eastAsia" w:ascii="宋体" w:hAnsi="宋体" w:cs="宋体"/>
          <w:b/>
          <w:bCs/>
          <w:sz w:val="48"/>
          <w:szCs w:val="56"/>
          <w:lang w:eastAsia="zh-CN"/>
        </w:rPr>
        <w:t>西安科技大学</w:t>
      </w:r>
    </w:p>
    <w:p w14:paraId="2D8EEDD1">
      <w:pPr>
        <w:pStyle w:val="3"/>
        <w:jc w:val="center"/>
        <w:rPr>
          <w:rFonts w:hint="eastAsia" w:ascii="宋体" w:hAnsi="宋体" w:eastAsia="宋体" w:cs="宋体"/>
          <w:b/>
          <w:bCs/>
          <w:kern w:val="2"/>
          <w:sz w:val="48"/>
          <w:szCs w:val="56"/>
          <w:lang w:val="en-US" w:eastAsia="zh-CN" w:bidi="ar-SA"/>
        </w:rPr>
      </w:pPr>
      <w:r>
        <w:rPr>
          <w:rFonts w:hint="eastAsia" w:ascii="宋体" w:hAnsi="宋体" w:eastAsia="宋体" w:cs="宋体"/>
          <w:b/>
          <w:bCs/>
          <w:kern w:val="2"/>
          <w:sz w:val="48"/>
          <w:szCs w:val="56"/>
          <w:lang w:val="en-US" w:eastAsia="zh-CN" w:bidi="ar-SA"/>
        </w:rPr>
        <w:t>一卡通等系统云计算资源采购项目</w:t>
      </w:r>
    </w:p>
    <w:bookmarkEnd w:id="54"/>
    <w:p w14:paraId="6C4BDEE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b/>
          <w:bCs/>
          <w:color w:val="000000"/>
          <w:sz w:val="72"/>
          <w:szCs w:val="72"/>
          <w:highlight w:val="none"/>
          <w:lang w:eastAsia="zh-CN"/>
        </w:rPr>
      </w:pPr>
    </w:p>
    <w:p w14:paraId="71F0451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b/>
          <w:bCs/>
          <w:color w:val="000000"/>
          <w:sz w:val="72"/>
          <w:szCs w:val="72"/>
          <w:highlight w:val="none"/>
        </w:rPr>
      </w:pPr>
      <w:r>
        <w:rPr>
          <w:rFonts w:hint="eastAsia" w:ascii="宋体" w:hAnsi="宋体"/>
          <w:b/>
          <w:bCs/>
          <w:color w:val="000000"/>
          <w:sz w:val="72"/>
          <w:szCs w:val="72"/>
          <w:highlight w:val="none"/>
          <w:lang w:eastAsia="zh-CN"/>
        </w:rPr>
        <w:t>服务</w:t>
      </w:r>
      <w:r>
        <w:rPr>
          <w:rFonts w:hint="eastAsia" w:ascii="宋体" w:hAnsi="宋体"/>
          <w:b/>
          <w:bCs/>
          <w:color w:val="000000"/>
          <w:sz w:val="72"/>
          <w:szCs w:val="72"/>
          <w:highlight w:val="none"/>
        </w:rPr>
        <w:t>合同</w:t>
      </w:r>
    </w:p>
    <w:p w14:paraId="6CB0B702">
      <w:pPr>
        <w:keepNext w:val="0"/>
        <w:keepLines w:val="0"/>
        <w:pageBreakBefore w:val="0"/>
        <w:widowControl w:val="0"/>
        <w:kinsoku/>
        <w:wordWrap/>
        <w:overflowPunct/>
        <w:topLinePunct w:val="0"/>
        <w:autoSpaceDE/>
        <w:autoSpaceDN/>
        <w:bidi w:val="0"/>
        <w:adjustRightInd w:val="0"/>
        <w:snapToGrid w:val="0"/>
        <w:spacing w:line="360" w:lineRule="auto"/>
        <w:ind w:firstLine="2891" w:firstLineChars="900"/>
        <w:textAlignment w:val="auto"/>
        <w:rPr>
          <w:rFonts w:ascii="宋体" w:hAnsi="宋体"/>
          <w:b/>
          <w:bCs/>
          <w:color w:val="000000"/>
          <w:sz w:val="32"/>
          <w:szCs w:val="32"/>
          <w:highlight w:val="none"/>
          <w:u w:val="single"/>
        </w:rPr>
      </w:pPr>
      <w:r>
        <w:rPr>
          <w:rFonts w:hint="eastAsia" w:ascii="宋体" w:hAnsi="宋体" w:eastAsia="宋体" w:cs="Times New Roman"/>
          <w:b/>
          <w:bCs/>
          <w:color w:val="000000"/>
          <w:sz w:val="32"/>
          <w:szCs w:val="32"/>
          <w:highlight w:val="none"/>
          <w:lang w:eastAsia="zh-CN"/>
        </w:rPr>
        <w:t>项目编号：</w:t>
      </w:r>
      <w:r>
        <w:rPr>
          <w:rFonts w:hint="eastAsia" w:ascii="宋体" w:hAnsi="宋体"/>
          <w:b/>
          <w:bCs/>
          <w:color w:val="000000"/>
          <w:sz w:val="32"/>
          <w:szCs w:val="32"/>
          <w:highlight w:val="none"/>
          <w:u w:val="single"/>
        </w:rPr>
        <w:t xml:space="preserve">    </w:t>
      </w:r>
      <w:r>
        <w:rPr>
          <w:rFonts w:hint="eastAsia" w:ascii="宋体" w:hAnsi="宋体"/>
          <w:b/>
          <w:bCs/>
          <w:color w:val="000000"/>
          <w:sz w:val="32"/>
          <w:szCs w:val="32"/>
          <w:highlight w:val="none"/>
          <w:u w:val="single"/>
          <w:lang w:val="en-US" w:eastAsia="zh-CN"/>
        </w:rPr>
        <w:t xml:space="preserve">   </w:t>
      </w:r>
      <w:r>
        <w:rPr>
          <w:rFonts w:hint="eastAsia" w:ascii="宋体" w:hAnsi="宋体"/>
          <w:b/>
          <w:bCs/>
          <w:color w:val="000000"/>
          <w:sz w:val="32"/>
          <w:szCs w:val="32"/>
          <w:highlight w:val="none"/>
          <w:u w:val="single"/>
        </w:rPr>
        <w:t xml:space="preserve">   </w:t>
      </w:r>
    </w:p>
    <w:p w14:paraId="7629581B">
      <w:pPr>
        <w:spacing w:line="360" w:lineRule="auto"/>
        <w:jc w:val="center"/>
        <w:rPr>
          <w:rFonts w:hint="eastAsia" w:ascii="宋体" w:hAnsi="宋体" w:cs="宋体"/>
          <w:b/>
          <w:bCs/>
          <w:color w:val="000000"/>
          <w:spacing w:val="26"/>
          <w:sz w:val="36"/>
          <w:szCs w:val="36"/>
          <w:highlight w:val="none"/>
        </w:rPr>
      </w:pPr>
    </w:p>
    <w:p w14:paraId="07DA2364">
      <w:pPr>
        <w:spacing w:line="360" w:lineRule="auto"/>
        <w:rPr>
          <w:rFonts w:ascii="宋体" w:hAnsi="宋体"/>
          <w:b/>
          <w:color w:val="000000"/>
          <w:sz w:val="32"/>
          <w:szCs w:val="32"/>
          <w:highlight w:val="none"/>
        </w:rPr>
      </w:pPr>
    </w:p>
    <w:p w14:paraId="732F7F00">
      <w:pPr>
        <w:spacing w:line="360" w:lineRule="auto"/>
        <w:rPr>
          <w:rFonts w:ascii="宋体" w:hAnsi="宋体"/>
          <w:b/>
          <w:color w:val="000000"/>
          <w:sz w:val="32"/>
          <w:szCs w:val="32"/>
          <w:highlight w:val="none"/>
        </w:rPr>
      </w:pPr>
    </w:p>
    <w:p w14:paraId="4E284EFC">
      <w:pPr>
        <w:spacing w:line="360" w:lineRule="auto"/>
        <w:rPr>
          <w:rFonts w:ascii="宋体" w:hAnsi="宋体"/>
          <w:b/>
          <w:color w:val="000000"/>
          <w:sz w:val="32"/>
          <w:szCs w:val="32"/>
          <w:highlight w:val="none"/>
        </w:rPr>
      </w:pPr>
    </w:p>
    <w:p w14:paraId="498E3EF5">
      <w:pPr>
        <w:spacing w:line="360" w:lineRule="auto"/>
        <w:jc w:val="center"/>
        <w:rPr>
          <w:rFonts w:hint="eastAsia" w:ascii="宋体" w:hAnsi="宋体" w:eastAsia="宋体" w:cs="宋体"/>
          <w:b/>
          <w:bCs/>
          <w:color w:val="000000"/>
          <w:sz w:val="32"/>
          <w:szCs w:val="32"/>
          <w:highlight w:val="none"/>
          <w:lang w:eastAsia="zh-CN"/>
        </w:rPr>
      </w:pPr>
      <w:r>
        <w:rPr>
          <w:rFonts w:hint="eastAsia" w:ascii="宋体" w:hAnsi="宋体" w:cs="宋体"/>
          <w:b/>
          <w:bCs/>
          <w:color w:val="000000"/>
          <w:sz w:val="32"/>
          <w:szCs w:val="32"/>
          <w:highlight w:val="none"/>
        </w:rPr>
        <w:t>甲方：</w:t>
      </w:r>
      <w:r>
        <w:rPr>
          <w:rFonts w:hint="eastAsia" w:ascii="宋体" w:hAnsi="宋体" w:cs="宋体"/>
          <w:b/>
          <w:bCs/>
          <w:color w:val="000000"/>
          <w:sz w:val="32"/>
          <w:szCs w:val="32"/>
          <w:highlight w:val="none"/>
          <w:lang w:eastAsia="zh-CN"/>
        </w:rPr>
        <w:t>西安科技大学</w:t>
      </w:r>
    </w:p>
    <w:p w14:paraId="68E47E02">
      <w:pPr>
        <w:ind w:firstLine="2891" w:firstLineChars="900"/>
        <w:jc w:val="both"/>
        <w:rPr>
          <w:rFonts w:hint="default" w:ascii="宋体" w:hAnsi="宋体" w:eastAsia="宋体"/>
          <w:b/>
          <w:bCs/>
          <w:color w:val="000000"/>
          <w:sz w:val="32"/>
          <w:szCs w:val="32"/>
          <w:highlight w:val="none"/>
          <w:u w:val="single"/>
          <w:lang w:val="en-US" w:eastAsia="zh-CN"/>
        </w:rPr>
      </w:pPr>
      <w:r>
        <w:rPr>
          <w:rFonts w:hint="eastAsia" w:ascii="宋体" w:hAnsi="宋体" w:cs="宋体"/>
          <w:b/>
          <w:bCs/>
          <w:color w:val="000000"/>
          <w:sz w:val="32"/>
          <w:szCs w:val="32"/>
          <w:highlight w:val="none"/>
        </w:rPr>
        <w:t>乙方：</w:t>
      </w:r>
      <w:r>
        <w:rPr>
          <w:rFonts w:hint="eastAsia" w:ascii="宋体" w:hAnsi="宋体" w:cs="宋体"/>
          <w:b/>
          <w:bCs/>
          <w:color w:val="000000"/>
          <w:sz w:val="32"/>
          <w:szCs w:val="32"/>
          <w:highlight w:val="none"/>
          <w:u w:val="single"/>
          <w:lang w:val="en-US" w:eastAsia="zh-CN"/>
        </w:rPr>
        <w:t xml:space="preserve">            </w:t>
      </w:r>
    </w:p>
    <w:p w14:paraId="72A5A057">
      <w:pPr>
        <w:spacing w:line="360" w:lineRule="auto"/>
        <w:jc w:val="center"/>
        <w:rPr>
          <w:rFonts w:hint="eastAsia" w:ascii="宋体" w:hAnsi="宋体" w:cs="宋体"/>
          <w:b/>
          <w:bCs/>
          <w:color w:val="000000"/>
          <w:spacing w:val="26"/>
          <w:sz w:val="30"/>
          <w:szCs w:val="30"/>
          <w:highlight w:val="none"/>
        </w:rPr>
      </w:pPr>
      <w:r>
        <w:rPr>
          <w:rFonts w:hint="eastAsia" w:ascii="宋体" w:hAnsi="宋体"/>
          <w:b/>
          <w:bCs/>
          <w:color w:val="000000"/>
          <w:sz w:val="32"/>
          <w:szCs w:val="32"/>
          <w:highlight w:val="none"/>
        </w:rPr>
        <w:t xml:space="preserve">  </w:t>
      </w:r>
      <w:r>
        <w:rPr>
          <w:rFonts w:hint="eastAsia" w:ascii="宋体" w:hAnsi="宋体" w:cs="宋体"/>
          <w:b/>
          <w:bCs/>
          <w:color w:val="000000"/>
          <w:spacing w:val="26"/>
          <w:sz w:val="30"/>
          <w:szCs w:val="30"/>
          <w:highlight w:val="none"/>
        </w:rPr>
        <w:t xml:space="preserve"> </w:t>
      </w:r>
    </w:p>
    <w:p w14:paraId="11D3ABF1">
      <w:pPr>
        <w:spacing w:line="360" w:lineRule="auto"/>
        <w:jc w:val="center"/>
        <w:rPr>
          <w:rFonts w:hint="eastAsia" w:ascii="宋体" w:hAnsi="宋体" w:cs="宋体"/>
          <w:b/>
          <w:bCs/>
          <w:color w:val="000000"/>
          <w:spacing w:val="26"/>
          <w:sz w:val="30"/>
          <w:szCs w:val="30"/>
          <w:highlight w:val="none"/>
        </w:rPr>
      </w:pPr>
      <w:r>
        <w:rPr>
          <w:rFonts w:hint="eastAsia" w:ascii="宋体" w:hAnsi="宋体" w:cs="宋体"/>
          <w:b/>
          <w:bCs/>
          <w:color w:val="000000"/>
          <w:spacing w:val="26"/>
          <w:sz w:val="30"/>
          <w:szCs w:val="30"/>
          <w:highlight w:val="none"/>
        </w:rPr>
        <w:t>二〇二五年</w:t>
      </w:r>
      <w:r>
        <w:rPr>
          <w:rFonts w:hint="eastAsia" w:ascii="宋体" w:hAnsi="宋体" w:cs="宋体"/>
          <w:b/>
          <w:bCs/>
          <w:color w:val="000000"/>
          <w:spacing w:val="26"/>
          <w:sz w:val="30"/>
          <w:szCs w:val="30"/>
          <w:highlight w:val="none"/>
          <w:u w:val="single"/>
        </w:rPr>
        <w:t xml:space="preserve">  </w:t>
      </w:r>
      <w:r>
        <w:rPr>
          <w:rFonts w:hint="eastAsia" w:ascii="宋体" w:hAnsi="宋体" w:cs="宋体"/>
          <w:b/>
          <w:bCs/>
          <w:color w:val="000000"/>
          <w:spacing w:val="26"/>
          <w:sz w:val="30"/>
          <w:szCs w:val="30"/>
          <w:highlight w:val="none"/>
        </w:rPr>
        <w:t>月</w:t>
      </w:r>
      <w:r>
        <w:rPr>
          <w:rFonts w:hint="eastAsia" w:ascii="宋体" w:hAnsi="宋体" w:cs="宋体"/>
          <w:b/>
          <w:bCs/>
          <w:color w:val="000000"/>
          <w:spacing w:val="26"/>
          <w:sz w:val="30"/>
          <w:szCs w:val="30"/>
          <w:highlight w:val="none"/>
          <w:u w:val="single"/>
        </w:rPr>
        <w:t xml:space="preserve">  </w:t>
      </w:r>
      <w:r>
        <w:rPr>
          <w:rFonts w:hint="eastAsia" w:ascii="宋体" w:hAnsi="宋体" w:cs="宋体"/>
          <w:b/>
          <w:bCs/>
          <w:color w:val="000000"/>
          <w:spacing w:val="26"/>
          <w:sz w:val="30"/>
          <w:szCs w:val="30"/>
          <w:highlight w:val="none"/>
        </w:rPr>
        <w:t>日</w:t>
      </w:r>
    </w:p>
    <w:p w14:paraId="7589A2A6">
      <w:pPr>
        <w:keepNext w:val="0"/>
        <w:keepLines w:val="0"/>
        <w:pageBreakBefore w:val="0"/>
        <w:widowControl w:val="0"/>
        <w:shd w:val="clear" w:color="auto" w:fill="FFFFFF"/>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bCs/>
          <w:caps w:val="0"/>
          <w:color w:val="auto"/>
          <w:sz w:val="24"/>
          <w:szCs w:val="24"/>
          <w:highlight w:val="none"/>
        </w:rPr>
      </w:pPr>
    </w:p>
    <w:p w14:paraId="5A7717DC">
      <w:pPr>
        <w:rPr>
          <w:rFonts w:hint="eastAsia" w:ascii="宋体" w:hAnsi="宋体" w:eastAsia="宋体" w:cs="宋体"/>
          <w:b/>
          <w:bCs/>
          <w:caps w:val="0"/>
          <w:color w:val="auto"/>
          <w:sz w:val="24"/>
          <w:szCs w:val="24"/>
          <w:highlight w:val="none"/>
        </w:rPr>
      </w:pPr>
      <w:r>
        <w:rPr>
          <w:rFonts w:hint="eastAsia" w:ascii="宋体" w:hAnsi="宋体" w:eastAsia="宋体" w:cs="宋体"/>
          <w:b/>
          <w:bCs/>
          <w:caps w:val="0"/>
          <w:color w:val="auto"/>
          <w:sz w:val="24"/>
          <w:szCs w:val="24"/>
          <w:highlight w:val="none"/>
        </w:rPr>
        <w:br w:type="page"/>
      </w:r>
    </w:p>
    <w:p w14:paraId="6502B3DA">
      <w:pPr>
        <w:keepNext w:val="0"/>
        <w:keepLines w:val="0"/>
        <w:pageBreakBefore w:val="0"/>
        <w:widowControl w:val="0"/>
        <w:shd w:val="clear" w:color="auto" w:fill="FFFFFF"/>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caps w:val="0"/>
          <w:color w:val="auto"/>
          <w:sz w:val="24"/>
          <w:szCs w:val="24"/>
          <w:highlight w:val="none"/>
          <w:lang w:eastAsia="zh-CN"/>
        </w:rPr>
      </w:pPr>
      <w:r>
        <w:rPr>
          <w:rFonts w:hint="eastAsia" w:ascii="宋体" w:hAnsi="宋体" w:eastAsia="宋体" w:cs="宋体"/>
          <w:b/>
          <w:bCs/>
          <w:caps w:val="0"/>
          <w:color w:val="auto"/>
          <w:sz w:val="24"/>
          <w:szCs w:val="24"/>
          <w:highlight w:val="none"/>
        </w:rPr>
        <w:t>甲方：西安科技大学</w:t>
      </w:r>
    </w:p>
    <w:p w14:paraId="47FEB069">
      <w:pPr>
        <w:keepNext w:val="0"/>
        <w:keepLines w:val="0"/>
        <w:pageBreakBefore w:val="0"/>
        <w:widowControl w:val="0"/>
        <w:shd w:val="clear" w:color="auto" w:fill="FFFFFF"/>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bCs/>
          <w:caps w:val="0"/>
          <w:color w:val="auto"/>
          <w:sz w:val="24"/>
          <w:szCs w:val="24"/>
          <w:highlight w:val="none"/>
        </w:rPr>
      </w:pPr>
      <w:r>
        <w:rPr>
          <w:rFonts w:hint="eastAsia" w:ascii="宋体" w:hAnsi="宋体" w:eastAsia="宋体" w:cs="宋体"/>
          <w:b/>
          <w:bCs/>
          <w:caps w:val="0"/>
          <w:color w:val="auto"/>
          <w:sz w:val="24"/>
          <w:szCs w:val="24"/>
          <w:highlight w:val="none"/>
        </w:rPr>
        <w:t>乙方：</w:t>
      </w:r>
      <w:r>
        <w:rPr>
          <w:rFonts w:hint="eastAsia" w:ascii="宋体" w:hAnsi="宋体" w:eastAsia="宋体" w:cs="宋体"/>
          <w:bCs/>
          <w:caps w:val="0"/>
          <w:color w:val="auto"/>
          <w:sz w:val="24"/>
          <w:szCs w:val="24"/>
          <w:highlight w:val="none"/>
          <w:u w:val="single"/>
        </w:rPr>
        <w:t xml:space="preserve">            </w:t>
      </w:r>
    </w:p>
    <w:p w14:paraId="64F55DF6">
      <w:pPr>
        <w:keepNext w:val="0"/>
        <w:keepLines w:val="0"/>
        <w:pageBreakBefore w:val="0"/>
        <w:widowControl w:val="0"/>
        <w:kinsoku/>
        <w:wordWrap w:val="0"/>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依据《中华人民共和国</w:t>
      </w:r>
      <w:r>
        <w:rPr>
          <w:rFonts w:hint="eastAsia" w:ascii="宋体" w:hAnsi="宋体" w:eastAsia="宋体" w:cs="宋体"/>
          <w:sz w:val="24"/>
          <w:szCs w:val="24"/>
          <w:highlight w:val="none"/>
          <w:lang w:val="en-US" w:eastAsia="zh-CN"/>
        </w:rPr>
        <w:t>民法典</w:t>
      </w:r>
      <w:r>
        <w:rPr>
          <w:rFonts w:hint="eastAsia" w:ascii="宋体" w:hAnsi="宋体" w:eastAsia="宋体" w:cs="宋体"/>
          <w:sz w:val="24"/>
          <w:szCs w:val="24"/>
          <w:highlight w:val="none"/>
        </w:rPr>
        <w:t>》与项目行业有关的法律法规，以及西安科技大学一卡通等系统云计算资源采购项目（项目编号：</w:t>
      </w:r>
      <w:r>
        <w:rPr>
          <w:rFonts w:hint="eastAsia" w:ascii="宋体" w:hAnsi="宋体" w:cs="宋体"/>
          <w:sz w:val="24"/>
          <w:szCs w:val="24"/>
          <w:highlight w:val="none"/>
          <w:u w:val="single"/>
          <w:lang w:val="en-US" w:eastAsia="zh-CN"/>
        </w:rPr>
        <w:t xml:space="preserve">          </w:t>
      </w:r>
      <w:r>
        <w:rPr>
          <w:rFonts w:ascii="宋体" w:hAnsi="宋体" w:eastAsia="宋体" w:cs="宋体"/>
          <w:sz w:val="24"/>
          <w:highlight w:val="none"/>
        </w:rPr>
        <w:t>）的《</w:t>
      </w:r>
      <w:r>
        <w:rPr>
          <w:rFonts w:hint="eastAsia" w:ascii="宋体" w:hAnsi="宋体" w:cs="宋体"/>
          <w:sz w:val="24"/>
          <w:szCs w:val="24"/>
          <w:highlight w:val="none"/>
          <w:lang w:val="en-US" w:eastAsia="zh-CN"/>
        </w:rPr>
        <w:t>竞争性磋商文件</w:t>
      </w:r>
      <w:r>
        <w:rPr>
          <w:rFonts w:hint="eastAsia" w:ascii="宋体" w:hAnsi="宋体" w:eastAsia="宋体" w:cs="宋体"/>
          <w:sz w:val="24"/>
          <w:szCs w:val="24"/>
          <w:highlight w:val="none"/>
        </w:rPr>
        <w:t>》，乙方的《</w:t>
      </w:r>
      <w:r>
        <w:rPr>
          <w:rFonts w:hint="eastAsia" w:ascii="宋体" w:hAnsi="宋体" w:cs="宋体"/>
          <w:sz w:val="24"/>
          <w:szCs w:val="24"/>
          <w:highlight w:val="none"/>
          <w:lang w:val="en-US" w:eastAsia="zh-CN"/>
        </w:rPr>
        <w:t>响应文件</w:t>
      </w:r>
      <w:r>
        <w:rPr>
          <w:rFonts w:hint="eastAsia" w:ascii="宋体" w:hAnsi="宋体" w:eastAsia="宋体" w:cs="宋体"/>
          <w:sz w:val="24"/>
          <w:szCs w:val="24"/>
          <w:highlight w:val="none"/>
        </w:rPr>
        <w:t>》及《</w:t>
      </w:r>
      <w:r>
        <w:rPr>
          <w:rFonts w:hint="eastAsia" w:ascii="宋体" w:hAnsi="宋体" w:cs="宋体"/>
          <w:sz w:val="24"/>
          <w:szCs w:val="24"/>
          <w:highlight w:val="none"/>
          <w:lang w:val="en-US" w:eastAsia="zh-CN"/>
        </w:rPr>
        <w:t>成交通知书</w:t>
      </w:r>
      <w:r>
        <w:rPr>
          <w:rFonts w:hint="eastAsia" w:ascii="宋体" w:hAnsi="宋体" w:eastAsia="宋体" w:cs="宋体"/>
          <w:sz w:val="24"/>
          <w:szCs w:val="24"/>
          <w:highlight w:val="none"/>
        </w:rPr>
        <w:t>》，甲、乙双方同意签订本合同。详细技术说明及其他有关合同项目的特定信息由合同附件予以说明，合同附件及本项目的《</w:t>
      </w:r>
      <w:r>
        <w:rPr>
          <w:rFonts w:hint="eastAsia" w:ascii="宋体" w:hAnsi="宋体" w:cs="宋体"/>
          <w:sz w:val="24"/>
          <w:szCs w:val="24"/>
          <w:highlight w:val="none"/>
          <w:lang w:val="en-US" w:eastAsia="zh-CN"/>
        </w:rPr>
        <w:t>竞争性磋商文件</w:t>
      </w: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响应文件</w:t>
      </w: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成交通知书</w:t>
      </w:r>
      <w:r>
        <w:rPr>
          <w:rFonts w:hint="eastAsia" w:ascii="宋体" w:hAnsi="宋体" w:eastAsia="宋体" w:cs="宋体"/>
          <w:sz w:val="24"/>
          <w:szCs w:val="24"/>
          <w:highlight w:val="none"/>
        </w:rPr>
        <w:t xml:space="preserve">》等均为本合同的组成部分。 </w:t>
      </w:r>
    </w:p>
    <w:p w14:paraId="00780341">
      <w:pPr>
        <w:keepNext w:val="0"/>
        <w:keepLines w:val="0"/>
        <w:pageBreakBefore w:val="0"/>
        <w:widowControl w:val="0"/>
        <w:numPr>
          <w:ilvl w:val="0"/>
          <w:numId w:val="0"/>
        </w:numPr>
        <w:kinsoku/>
        <w:overflowPunct/>
        <w:topLinePunct w:val="0"/>
        <w:autoSpaceDE/>
        <w:autoSpaceDN/>
        <w:bidi w:val="0"/>
        <w:adjustRightInd w:val="0"/>
        <w:snapToGrid w:val="0"/>
        <w:spacing w:line="360" w:lineRule="auto"/>
        <w:ind w:left="479" w:leftChars="228" w:firstLine="0" w:firstLineChars="0"/>
        <w:rPr>
          <w:rFonts w:hint="eastAsia" w:ascii="宋体" w:hAnsi="宋体" w:eastAsia="宋体" w:cs="宋体"/>
          <w:color w:val="auto"/>
          <w:sz w:val="24"/>
          <w:highlight w:val="none"/>
        </w:rPr>
      </w:pPr>
      <w:r>
        <w:rPr>
          <w:rFonts w:hint="eastAsia" w:ascii="宋体" w:hAnsi="宋体" w:eastAsia="宋体" w:cs="宋体"/>
          <w:b/>
          <w:kern w:val="2"/>
          <w:sz w:val="24"/>
          <w:szCs w:val="24"/>
          <w:lang w:val="en-US" w:eastAsia="zh-CN" w:bidi="ar-SA"/>
        </w:rPr>
        <w:t xml:space="preserve">第一条 </w:t>
      </w:r>
      <w:r>
        <w:rPr>
          <w:rFonts w:hint="eastAsia" w:ascii="宋体" w:hAnsi="宋体" w:eastAsia="宋体" w:cs="宋体"/>
          <w:b/>
          <w:sz w:val="24"/>
          <w:szCs w:val="24"/>
          <w:highlight w:val="none"/>
        </w:rPr>
        <w:t>项目基本情况</w:t>
      </w:r>
      <w:r>
        <w:rPr>
          <w:rFonts w:hint="eastAsia" w:ascii="宋体" w:hAnsi="宋体" w:eastAsia="宋体" w:cs="宋体"/>
          <w:b/>
          <w:sz w:val="24"/>
          <w:szCs w:val="24"/>
          <w:highlight w:val="none"/>
        </w:rPr>
        <w:br w:type="textWrapping"/>
      </w:r>
      <w:r>
        <w:rPr>
          <w:rFonts w:hint="eastAsia" w:ascii="宋体" w:hAnsi="宋体" w:eastAsia="宋体" w:cs="宋体"/>
          <w:color w:val="auto"/>
          <w:sz w:val="24"/>
          <w:highlight w:val="none"/>
        </w:rPr>
        <w:t>陕西科技大学校园主站www.sust.edu.cn以及各级子站、一卡通系统、移动</w:t>
      </w:r>
    </w:p>
    <w:p w14:paraId="00E08C81">
      <w:pPr>
        <w:adjustRightInd w:val="0"/>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平台、一站式服务大厅等系统目前运行于</w:t>
      </w:r>
      <w:r>
        <w:rPr>
          <w:rFonts w:hint="eastAsia" w:ascii="宋体" w:hAnsi="宋体" w:eastAsia="宋体" w:cs="宋体"/>
          <w:color w:val="auto"/>
          <w:sz w:val="24"/>
          <w:highlight w:val="none"/>
          <w:lang w:val="en-US" w:eastAsia="zh-CN"/>
        </w:rPr>
        <w:t xml:space="preserve">公有云 </w:t>
      </w:r>
      <w:r>
        <w:rPr>
          <w:rFonts w:hint="eastAsia" w:ascii="宋体" w:hAnsi="宋体" w:eastAsia="宋体" w:cs="宋体"/>
          <w:color w:val="auto"/>
          <w:sz w:val="24"/>
          <w:highlight w:val="none"/>
        </w:rPr>
        <w:t>，自2018年以来一直稳定运行，并为学校师生和国内外用户提供了良好的访问体验。目前，学校云账户内拟采购两部分资源，分别是云主机订阅及实时计费资源。</w:t>
      </w:r>
    </w:p>
    <w:p w14:paraId="4AD99EF4">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云主机订阅</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需要进行年度续费，具体起始日期以学校云账号中前一期订阅服务到期时间为准，即新采购订阅从学校云账号中前一期订阅服务到期时间之日开始计算，订阅采用一次性预付采购，使用期限内，没有任何其他费用。</w:t>
      </w:r>
    </w:p>
    <w:p w14:paraId="668A8D0B">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实时计费资源采购：包括网络流量、存储空间（包括主机硬盘、数据备份等）、负载均衡器、应用安全、日志系统等内容。由于此类资源是按月且按实际发生量计费，实时计费资源总费用折合成等值网络流量和存储空间进行采购，资源交付按等值金额充值到学校云账号内，可以抵扣学校云账号在合同签订之前或之后所产生该类型资源使用费用。</w:t>
      </w:r>
    </w:p>
    <w:p w14:paraId="290CC6B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kern w:val="2"/>
          <w:sz w:val="24"/>
          <w:szCs w:val="24"/>
          <w:highlight w:val="none"/>
          <w:lang w:val="en-US" w:eastAsia="zh-CN" w:bidi="ar-SA"/>
        </w:rPr>
        <w:t xml:space="preserve">第二条 </w:t>
      </w:r>
      <w:r>
        <w:rPr>
          <w:rFonts w:hint="eastAsia" w:ascii="宋体" w:hAnsi="宋体" w:eastAsia="宋体" w:cs="宋体"/>
          <w:b/>
          <w:sz w:val="24"/>
          <w:szCs w:val="24"/>
          <w:highlight w:val="none"/>
        </w:rPr>
        <w:t>合同期限</w:t>
      </w:r>
    </w:p>
    <w:p w14:paraId="415601E8">
      <w:pPr>
        <w:pStyle w:val="9"/>
        <w:adjustRightInd w:val="0"/>
        <w:snapToGrid w:val="0"/>
        <w:spacing w:line="360" w:lineRule="auto"/>
        <w:ind w:left="479" w:leftChars="228" w:firstLine="0" w:firstLineChars="0"/>
        <w:outlineLvl w:val="3"/>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本项目云计算实例及云数据库服务期限为自合同签订之日起</w:t>
      </w:r>
      <w:r>
        <w:rPr>
          <w:rFonts w:hint="eastAsia" w:ascii="宋体" w:hAnsi="宋体" w:eastAsia="宋体" w:cs="宋体"/>
          <w:color w:val="auto"/>
          <w:sz w:val="24"/>
          <w:szCs w:val="24"/>
          <w:highlight w:val="none"/>
          <w:lang w:val="en-US" w:eastAsia="zh-CN"/>
        </w:rPr>
        <w:t>3年；实时计费</w:t>
      </w:r>
    </w:p>
    <w:p w14:paraId="3435D765">
      <w:pPr>
        <w:pStyle w:val="9"/>
        <w:adjustRightInd w:val="0"/>
        <w:snapToGrid w:val="0"/>
        <w:spacing w:line="360" w:lineRule="auto"/>
        <w:outlineLvl w:val="3"/>
        <w:rPr>
          <w:rFonts w:hint="default" w:ascii="宋体" w:hAnsi="宋体" w:eastAsia="宋体" w:cs="宋体"/>
          <w:b/>
          <w:color w:val="auto"/>
          <w:sz w:val="24"/>
          <w:szCs w:val="24"/>
          <w:highlight w:val="none"/>
          <w:lang w:val="en-US" w:eastAsia="zh-CN"/>
        </w:rPr>
      </w:pPr>
      <w:r>
        <w:rPr>
          <w:rFonts w:hint="eastAsia" w:ascii="宋体" w:hAnsi="宋体" w:eastAsia="宋体" w:cs="宋体"/>
          <w:color w:val="auto"/>
          <w:sz w:val="24"/>
          <w:szCs w:val="24"/>
          <w:highlight w:val="none"/>
          <w:lang w:val="en-US" w:eastAsia="zh-CN"/>
        </w:rPr>
        <w:t>资源及云资源管理服务服务期限为1年，合作满一年，双方无异议，合同自动顺延至下一个年度，总服务期不超过三年。</w:t>
      </w:r>
    </w:p>
    <w:p w14:paraId="6B17E5C9">
      <w:pPr>
        <w:pStyle w:val="9"/>
        <w:adjustRightInd w:val="0"/>
        <w:snapToGrid w:val="0"/>
        <w:spacing w:line="360" w:lineRule="auto"/>
        <w:ind w:firstLine="480" w:firstLineChars="200"/>
        <w:outlineLvl w:val="3"/>
        <w:rPr>
          <w:rFonts w:hint="eastAsia" w:ascii="宋体" w:hAnsi="宋体" w:eastAsia="宋体" w:cs="宋体"/>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备注：乙方的</w:t>
      </w:r>
      <w:r>
        <w:rPr>
          <w:rFonts w:hint="eastAsia" w:ascii="宋体" w:hAnsi="宋体" w:eastAsia="宋体" w:cs="宋体"/>
          <w:color w:val="auto"/>
          <w:sz w:val="24"/>
          <w:szCs w:val="24"/>
          <w:highlight w:val="none"/>
          <w:lang w:val="en-US" w:eastAsia="zh-CN"/>
        </w:rPr>
        <w:t>实时计费资源及云资源管理服务</w:t>
      </w:r>
      <w:r>
        <w:rPr>
          <w:rFonts w:hint="eastAsia" w:ascii="宋体" w:hAnsi="宋体" w:eastAsia="宋体" w:cs="宋体"/>
          <w:color w:val="auto"/>
          <w:kern w:val="2"/>
          <w:sz w:val="24"/>
          <w:szCs w:val="24"/>
          <w:highlight w:val="none"/>
          <w:lang w:val="en-US" w:eastAsia="zh-CN" w:bidi="ar-SA"/>
        </w:rPr>
        <w:t>最</w:t>
      </w:r>
      <w:r>
        <w:rPr>
          <w:rFonts w:hint="eastAsia" w:ascii="宋体" w:hAnsi="宋体" w:eastAsia="宋体" w:cs="宋体"/>
          <w:kern w:val="2"/>
          <w:sz w:val="24"/>
          <w:szCs w:val="24"/>
          <w:highlight w:val="none"/>
          <w:lang w:val="en-US" w:eastAsia="zh-CN" w:bidi="ar-SA"/>
        </w:rPr>
        <w:t>终报价作为每年度服务</w:t>
      </w:r>
    </w:p>
    <w:p w14:paraId="6393447F">
      <w:pPr>
        <w:pStyle w:val="9"/>
        <w:adjustRightInd w:val="0"/>
        <w:snapToGrid w:val="0"/>
        <w:spacing w:line="360" w:lineRule="auto"/>
        <w:outlineLvl w:val="3"/>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期最终结算价格，在每年度服务期满前二个月，乙方须按照甲方的要求予以考核，考核未达标的，甲方有权不再续签。如达到满意标准，经双方协商，可在当年合同期满一个月办理下年度合同续签手续。如因故须终止合同，提出终止的一方应在合同期满前二个月告知对方。</w:t>
      </w:r>
    </w:p>
    <w:p w14:paraId="662ADD7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kern w:val="2"/>
          <w:sz w:val="24"/>
          <w:szCs w:val="24"/>
          <w:lang w:val="en-US" w:eastAsia="zh-CN" w:bidi="ar-SA"/>
        </w:rPr>
        <w:t xml:space="preserve">第三条 </w:t>
      </w:r>
      <w:r>
        <w:rPr>
          <w:rFonts w:hint="eastAsia" w:ascii="宋体" w:hAnsi="宋体" w:eastAsia="宋体" w:cs="宋体"/>
          <w:b/>
          <w:sz w:val="24"/>
          <w:szCs w:val="24"/>
          <w:highlight w:val="none"/>
          <w:lang w:eastAsia="zh-CN"/>
        </w:rPr>
        <w:t>服务内容</w:t>
      </w:r>
    </w:p>
    <w:p w14:paraId="25BA6232">
      <w:pPr>
        <w:adjustRightInd w:val="0"/>
        <w:snapToGrid w:val="0"/>
        <w:spacing w:line="360" w:lineRule="auto"/>
        <w:ind w:firstLine="480" w:firstLineChars="200"/>
        <w:rPr>
          <w:rFonts w:hint="eastAsia" w:ascii="宋体" w:hAnsi="宋体" w:eastAsia="宋体" w:cs="宋体"/>
          <w:color w:val="auto"/>
          <w:sz w:val="24"/>
          <w:highlight w:val="none"/>
        </w:rPr>
      </w:pPr>
      <w:bookmarkStart w:id="2" w:name="_Toc251768862"/>
      <w:bookmarkStart w:id="3" w:name="_Toc225654644"/>
      <w:bookmarkStart w:id="4" w:name="_Toc286993786"/>
      <w:bookmarkStart w:id="5" w:name="_Toc225244852"/>
      <w:bookmarkStart w:id="6" w:name="_Toc185395249"/>
      <w:bookmarkStart w:id="7" w:name="_Toc241833903"/>
      <w:bookmarkStart w:id="8" w:name="_Toc212019594"/>
      <w:bookmarkStart w:id="9" w:name="_Toc211854449"/>
      <w:bookmarkStart w:id="10" w:name="_Toc238984975"/>
      <w:bookmarkStart w:id="11" w:name="_Toc232492928"/>
      <w:bookmarkStart w:id="12" w:name="_Toc211911348"/>
      <w:bookmarkStart w:id="13" w:name="_Toc239568418"/>
      <w:bookmarkStart w:id="14" w:name="_Toc237145406"/>
      <w:bookmarkStart w:id="15" w:name="_Toc282696226"/>
      <w:bookmarkStart w:id="16" w:name="_Toc283019214"/>
      <w:bookmarkStart w:id="17" w:name="_Toc225670751"/>
      <w:bookmarkStart w:id="18" w:name="_Toc239233914"/>
      <w:bookmarkStart w:id="19" w:name="_Toc247334841"/>
      <w:r>
        <w:rPr>
          <w:rFonts w:hint="eastAsia" w:ascii="宋体" w:hAnsi="宋体" w:eastAsia="宋体" w:cs="宋体"/>
          <w:color w:val="auto"/>
          <w:sz w:val="24"/>
          <w:highlight w:val="none"/>
        </w:rPr>
        <w:t>服务内容如下，第1、2项为云主机订阅，第3项为实时计费资源采购，第4项为云资源管理服务：</w:t>
      </w:r>
    </w:p>
    <w:p w14:paraId="4741766D">
      <w:pPr>
        <w:adjustRightInd w:val="0"/>
        <w:snapToGrid w:val="0"/>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1.云计算实例</w:t>
      </w:r>
    </w:p>
    <w:p w14:paraId="58FB0CB3">
      <w:pPr>
        <w:adjustRightInd w:val="0"/>
        <w:snapToGrid w:val="0"/>
        <w:spacing w:line="360" w:lineRule="auto"/>
        <w:ind w:firstLine="480" w:firstLineChars="200"/>
        <w:rPr>
          <w:rFonts w:hint="eastAsia" w:ascii="宋体" w:hAnsi="宋体" w:eastAsia="宋体" w:cs="宋体"/>
          <w:strike w:val="0"/>
          <w:color w:val="auto"/>
          <w:sz w:val="24"/>
          <w:highlight w:val="none"/>
        </w:rPr>
      </w:pPr>
      <w:r>
        <w:rPr>
          <w:rFonts w:hint="eastAsia" w:ascii="宋体" w:hAnsi="宋体" w:eastAsia="宋体" w:cs="宋体"/>
          <w:strike w:val="0"/>
          <w:color w:val="auto"/>
          <w:sz w:val="24"/>
          <w:highlight w:val="none"/>
        </w:rPr>
        <w:t>1.1CPU要求：</w:t>
      </w:r>
      <w:r>
        <w:rPr>
          <w:rFonts w:hint="eastAsia" w:ascii="宋体" w:hAnsi="宋体" w:eastAsia="宋体" w:cs="宋体"/>
          <w:color w:val="auto"/>
          <w:sz w:val="24"/>
          <w:highlight w:val="none"/>
        </w:rPr>
        <w:t>48颗虚拟CPU、192内存</w:t>
      </w:r>
      <w:r>
        <w:rPr>
          <w:rFonts w:hint="eastAsia" w:ascii="宋体" w:hAnsi="宋体" w:eastAsia="宋体" w:cs="宋体"/>
          <w:color w:val="auto"/>
          <w:sz w:val="24"/>
          <w:highlight w:val="none"/>
          <w:lang w:eastAsia="zh-CN"/>
        </w:rPr>
        <w:t>；（</w:t>
      </w:r>
      <w:r>
        <w:rPr>
          <w:rFonts w:hint="eastAsia" w:ascii="宋体" w:hAnsi="宋体" w:eastAsia="宋体" w:cs="宋体"/>
          <w:strike w:val="0"/>
          <w:color w:val="auto"/>
          <w:sz w:val="24"/>
          <w:highlight w:val="none"/>
          <w:lang w:val="en-US" w:eastAsia="zh-CN"/>
        </w:rPr>
        <w:t>24核、2线程/核，3.1G，且</w:t>
      </w:r>
      <w:r>
        <w:rPr>
          <w:rFonts w:hint="eastAsia" w:ascii="宋体" w:hAnsi="宋体" w:eastAsia="宋体" w:cs="宋体"/>
          <w:strike w:val="0"/>
          <w:color w:val="auto"/>
          <w:sz w:val="24"/>
          <w:highlight w:val="none"/>
        </w:rPr>
        <w:t>全面兼容</w:t>
      </w:r>
      <w:r>
        <w:rPr>
          <w:rFonts w:hint="eastAsia" w:ascii="宋体" w:hAnsi="宋体" w:eastAsia="宋体" w:cs="宋体"/>
          <w:strike w:val="0"/>
          <w:color w:val="auto"/>
          <w:sz w:val="24"/>
          <w:highlight w:val="none"/>
          <w:lang w:val="en-US" w:eastAsia="zh-CN"/>
        </w:rPr>
        <w:t>64位x86或</w:t>
      </w:r>
      <w:r>
        <w:rPr>
          <w:rFonts w:hint="eastAsia" w:ascii="宋体" w:hAnsi="宋体" w:eastAsia="宋体" w:cs="宋体"/>
          <w:strike w:val="0"/>
          <w:color w:val="auto"/>
          <w:sz w:val="24"/>
          <w:highlight w:val="none"/>
        </w:rPr>
        <w:t>更优型号</w:t>
      </w:r>
      <w:r>
        <w:rPr>
          <w:rFonts w:hint="eastAsia" w:ascii="宋体" w:hAnsi="宋体" w:eastAsia="宋体" w:cs="宋体"/>
          <w:strike w:val="0"/>
          <w:color w:val="auto"/>
          <w:sz w:val="24"/>
          <w:highlight w:val="none"/>
          <w:lang w:eastAsia="zh-CN"/>
        </w:rPr>
        <w:t>，</w:t>
      </w:r>
      <w:r>
        <w:rPr>
          <w:rFonts w:hint="eastAsia" w:ascii="宋体" w:hAnsi="宋体" w:eastAsia="宋体" w:cs="宋体"/>
          <w:strike w:val="0"/>
          <w:color w:val="auto"/>
          <w:sz w:val="24"/>
          <w:highlight w:val="none"/>
          <w:lang w:val="en-US" w:eastAsia="zh-CN"/>
        </w:rPr>
        <w:t>必须为当前云厂家最新一代产品）</w:t>
      </w:r>
      <w:r>
        <w:rPr>
          <w:rFonts w:hint="eastAsia" w:ascii="宋体" w:hAnsi="宋体" w:eastAsia="宋体" w:cs="宋体"/>
          <w:strike w:val="0"/>
          <w:color w:val="auto"/>
          <w:sz w:val="24"/>
          <w:highlight w:val="none"/>
        </w:rPr>
        <w:t>；</w:t>
      </w:r>
    </w:p>
    <w:p w14:paraId="2839A415">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1.2实例性能：10 Gigabit网络性能，或更优型号；</w:t>
      </w:r>
    </w:p>
    <w:p w14:paraId="7E727B93">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1.3实例数量：3台；</w:t>
      </w:r>
    </w:p>
    <w:p w14:paraId="671F2119">
      <w:pPr>
        <w:adjustRightInd w:val="0"/>
        <w:snapToGrid w:val="0"/>
        <w:spacing w:line="360" w:lineRule="auto"/>
        <w:ind w:firstLine="480" w:firstLineChars="200"/>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1.4 其他要求</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一次性购买3年使用权</w:t>
      </w:r>
      <w:r>
        <w:rPr>
          <w:rFonts w:hint="eastAsia" w:ascii="宋体" w:hAnsi="宋体" w:eastAsia="宋体" w:cs="宋体"/>
          <w:color w:val="auto"/>
          <w:sz w:val="24"/>
          <w:highlight w:val="none"/>
        </w:rPr>
        <w:t>；</w:t>
      </w:r>
    </w:p>
    <w:p w14:paraId="7C33E816">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实例存储要求：通过物理连接到主机服务器的 EBS 或 NVMe SSD 提供实例存储，单一存储卷最大可扩展≥16TIB；</w:t>
      </w:r>
    </w:p>
    <w:p w14:paraId="5C292D58">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配置：可以允许客户设置云计算实例中的CPU核数量以及每核的线程数量；</w:t>
      </w:r>
    </w:p>
    <w:p w14:paraId="00C0A113">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7</w:t>
      </w:r>
      <w:r>
        <w:rPr>
          <w:rFonts w:hint="eastAsia" w:ascii="宋体" w:hAnsi="宋体" w:eastAsia="宋体" w:cs="宋体"/>
          <w:color w:val="auto"/>
          <w:sz w:val="24"/>
          <w:highlight w:val="none"/>
        </w:rPr>
        <w:t>操作系统：允许自定义和上传操作系统映像，支持将VMware vSphere、Microsoft Hyper-V等平台的虚拟机导入到云平台中，并能创建镜像作为创建云主机的模板，并提供官方迁移工具及说明；</w:t>
      </w:r>
    </w:p>
    <w:p w14:paraId="0A388E30">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扩展功能：由云计算实例构成的应用服务器或Web服务器支持自动伸缩功能，支持根据监控指标（如CPU、硬盘IO、网络吞吐等）定义阈值，并且在触动阈值后能够动态增加或减少计算资源；</w:t>
      </w:r>
    </w:p>
    <w:p w14:paraId="77EB17EF">
      <w:pPr>
        <w:adjustRightInd w:val="0"/>
        <w:snapToGrid w:val="0"/>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2.云数据库</w:t>
      </w:r>
    </w:p>
    <w:p w14:paraId="236BE914">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2.1云数据库版本：</w:t>
      </w:r>
      <w:r>
        <w:rPr>
          <w:rFonts w:hint="eastAsia" w:ascii="宋体" w:hAnsi="宋体" w:eastAsia="宋体" w:cs="宋体"/>
          <w:color w:val="auto"/>
          <w:sz w:val="24"/>
          <w:highlight w:val="none"/>
          <w:lang w:val="en-US" w:eastAsia="zh-CN"/>
        </w:rPr>
        <w:t>全面兼容</w:t>
      </w:r>
      <w:r>
        <w:rPr>
          <w:rFonts w:hint="eastAsia" w:ascii="宋体" w:hAnsi="宋体" w:eastAsia="宋体" w:cs="宋体"/>
          <w:strike w:val="0"/>
          <w:color w:val="auto"/>
          <w:sz w:val="24"/>
          <w:highlight w:val="none"/>
        </w:rPr>
        <w:t>Oracle</w:t>
      </w:r>
      <w:r>
        <w:rPr>
          <w:rFonts w:hint="eastAsia" w:ascii="宋体" w:hAnsi="宋体" w:eastAsia="宋体" w:cs="宋体"/>
          <w:strike w:val="0"/>
          <w:color w:val="auto"/>
          <w:sz w:val="24"/>
          <w:highlight w:val="none"/>
          <w:lang w:val="en-US" w:eastAsia="zh-CN"/>
        </w:rPr>
        <w:t>的数据库</w:t>
      </w:r>
      <w:r>
        <w:rPr>
          <w:rFonts w:hint="eastAsia" w:ascii="宋体" w:hAnsi="宋体" w:eastAsia="宋体" w:cs="宋体"/>
          <w:strike w:val="0"/>
          <w:color w:val="auto"/>
          <w:sz w:val="24"/>
          <w:highlight w:val="none"/>
        </w:rPr>
        <w:t>，</w:t>
      </w:r>
      <w:r>
        <w:rPr>
          <w:rFonts w:hint="eastAsia" w:ascii="宋体" w:hAnsi="宋体" w:eastAsia="宋体" w:cs="宋体"/>
          <w:strike w:val="0"/>
          <w:color w:val="auto"/>
          <w:sz w:val="24"/>
          <w:highlight w:val="none"/>
          <w:lang w:val="en-US" w:eastAsia="zh-CN"/>
        </w:rPr>
        <w:t>并且是</w:t>
      </w:r>
      <w:r>
        <w:rPr>
          <w:rFonts w:hint="eastAsia" w:ascii="宋体" w:hAnsi="宋体" w:eastAsia="宋体" w:cs="宋体"/>
          <w:strike w:val="0"/>
          <w:color w:val="auto"/>
          <w:sz w:val="24"/>
          <w:highlight w:val="none"/>
        </w:rPr>
        <w:t>云中完全托管的数据库，即：</w:t>
      </w:r>
      <w:r>
        <w:rPr>
          <w:rFonts w:hint="eastAsia" w:ascii="宋体" w:hAnsi="宋体" w:eastAsia="宋体" w:cs="宋体"/>
          <w:color w:val="auto"/>
          <w:sz w:val="24"/>
          <w:highlight w:val="none"/>
        </w:rPr>
        <w:t>数据库的安装、部署、维护、备份、恢复由云厂商的系统软件平台提供，而不是直接安装在云主机实例上；</w:t>
      </w:r>
    </w:p>
    <w:p w14:paraId="23A928CF">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2.2性能要求：16虚拟CPU、64G内存；</w:t>
      </w:r>
      <w:r>
        <w:rPr>
          <w:rFonts w:hint="eastAsia" w:ascii="宋体" w:hAnsi="宋体" w:eastAsia="宋体" w:cs="宋体"/>
          <w:strike w:val="0"/>
          <w:color w:val="auto"/>
          <w:sz w:val="24"/>
          <w:highlight w:val="none"/>
        </w:rPr>
        <w:t>（</w:t>
      </w:r>
      <w:r>
        <w:rPr>
          <w:rFonts w:hint="eastAsia" w:ascii="宋体" w:hAnsi="宋体" w:eastAsia="宋体" w:cs="宋体"/>
          <w:strike w:val="0"/>
          <w:color w:val="auto"/>
          <w:sz w:val="24"/>
          <w:highlight w:val="none"/>
          <w:lang w:val="en-US" w:eastAsia="zh-CN"/>
        </w:rPr>
        <w:t>24核、2线程/核，3.1G，且</w:t>
      </w:r>
      <w:r>
        <w:rPr>
          <w:rFonts w:hint="eastAsia" w:ascii="宋体" w:hAnsi="宋体" w:eastAsia="宋体" w:cs="宋体"/>
          <w:strike w:val="0"/>
          <w:color w:val="auto"/>
          <w:sz w:val="24"/>
          <w:highlight w:val="none"/>
        </w:rPr>
        <w:t>全面兼容</w:t>
      </w:r>
      <w:r>
        <w:rPr>
          <w:rFonts w:hint="eastAsia" w:ascii="宋体" w:hAnsi="宋体" w:eastAsia="宋体" w:cs="宋体"/>
          <w:strike w:val="0"/>
          <w:color w:val="auto"/>
          <w:sz w:val="24"/>
          <w:highlight w:val="none"/>
          <w:lang w:val="en-US" w:eastAsia="zh-CN"/>
        </w:rPr>
        <w:t>64位x86或</w:t>
      </w:r>
      <w:r>
        <w:rPr>
          <w:rFonts w:hint="eastAsia" w:ascii="宋体" w:hAnsi="宋体" w:eastAsia="宋体" w:cs="宋体"/>
          <w:strike w:val="0"/>
          <w:color w:val="auto"/>
          <w:sz w:val="24"/>
          <w:highlight w:val="none"/>
        </w:rPr>
        <w:t>更优型号</w:t>
      </w:r>
      <w:r>
        <w:rPr>
          <w:rFonts w:hint="eastAsia" w:ascii="宋体" w:hAnsi="宋体" w:eastAsia="宋体" w:cs="宋体"/>
          <w:strike w:val="0"/>
          <w:color w:val="auto"/>
          <w:sz w:val="24"/>
          <w:highlight w:val="none"/>
          <w:lang w:eastAsia="zh-CN"/>
        </w:rPr>
        <w:t>，</w:t>
      </w:r>
      <w:r>
        <w:rPr>
          <w:rFonts w:hint="eastAsia" w:ascii="宋体" w:hAnsi="宋体" w:eastAsia="宋体" w:cs="宋体"/>
          <w:strike w:val="0"/>
          <w:color w:val="auto"/>
          <w:sz w:val="24"/>
          <w:highlight w:val="none"/>
          <w:lang w:val="en-US" w:eastAsia="zh-CN"/>
        </w:rPr>
        <w:t>必须为当前云厂家最新一代产品）</w:t>
      </w:r>
      <w:r>
        <w:rPr>
          <w:rFonts w:hint="eastAsia" w:ascii="宋体" w:hAnsi="宋体" w:eastAsia="宋体" w:cs="宋体"/>
          <w:strike w:val="0"/>
          <w:color w:val="auto"/>
          <w:sz w:val="24"/>
          <w:highlight w:val="none"/>
          <w:lang w:eastAsia="zh-CN"/>
        </w:rPr>
        <w:t>；</w:t>
      </w:r>
    </w:p>
    <w:p w14:paraId="4E919922">
      <w:pPr>
        <w:adjustRightInd w:val="0"/>
        <w:snapToGrid w:val="0"/>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2.3数量：1台</w:t>
      </w:r>
      <w:r>
        <w:rPr>
          <w:rFonts w:hint="eastAsia" w:ascii="宋体" w:hAnsi="宋体" w:eastAsia="宋体" w:cs="宋体"/>
          <w:color w:val="auto"/>
          <w:sz w:val="24"/>
          <w:highlight w:val="none"/>
          <w:lang w:eastAsia="zh-CN"/>
        </w:rPr>
        <w:t>；</w:t>
      </w:r>
    </w:p>
    <w:p w14:paraId="22EE2EFA">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2.4</w:t>
      </w:r>
      <w:r>
        <w:rPr>
          <w:rFonts w:hint="eastAsia" w:ascii="宋体" w:hAnsi="宋体" w:eastAsia="宋体" w:cs="宋体"/>
          <w:color w:val="auto"/>
          <w:sz w:val="24"/>
          <w:highlight w:val="none"/>
          <w:lang w:val="en-US" w:eastAsia="zh-CN"/>
        </w:rPr>
        <w:t>其他要求</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一次性购买3年使用权</w:t>
      </w:r>
      <w:r>
        <w:rPr>
          <w:rFonts w:hint="eastAsia" w:ascii="宋体" w:hAnsi="宋体" w:eastAsia="宋体" w:cs="宋体"/>
          <w:color w:val="auto"/>
          <w:sz w:val="24"/>
          <w:highlight w:val="none"/>
        </w:rPr>
        <w:t>；</w:t>
      </w:r>
    </w:p>
    <w:p w14:paraId="0C19C550">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2.5须具备多可用区部署功能</w:t>
      </w:r>
      <w:r>
        <w:rPr>
          <w:rFonts w:hint="eastAsia" w:ascii="宋体" w:hAnsi="宋体" w:eastAsia="宋体" w:cs="宋体"/>
          <w:color w:val="auto"/>
          <w:sz w:val="24"/>
          <w:highlight w:val="none"/>
          <w:lang w:val="en-US" w:eastAsia="zh-CN"/>
        </w:rPr>
        <w:t>并启用该功能</w:t>
      </w:r>
      <w:r>
        <w:rPr>
          <w:rFonts w:hint="eastAsia" w:ascii="宋体" w:hAnsi="宋体" w:eastAsia="宋体" w:cs="宋体"/>
          <w:color w:val="auto"/>
          <w:sz w:val="24"/>
          <w:highlight w:val="none"/>
        </w:rPr>
        <w:t>；</w:t>
      </w:r>
    </w:p>
    <w:p w14:paraId="101F98C8">
      <w:pPr>
        <w:adjustRightInd w:val="0"/>
        <w:snapToGrid w:val="0"/>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3.实时计费资源</w:t>
      </w:r>
    </w:p>
    <w:p w14:paraId="5C43E8FC">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3.1网络流量：</w:t>
      </w:r>
    </w:p>
    <w:p w14:paraId="428486A4">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数量：≥135TB；</w:t>
      </w:r>
    </w:p>
    <w:p w14:paraId="40557FC4">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3.2存储空间：</w:t>
      </w:r>
    </w:p>
    <w:p w14:paraId="33C84075">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（1）总容量：不少于115000GB-Mo（GB月）</w:t>
      </w:r>
    </w:p>
    <w:p w14:paraId="27FEB53F">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（2）类型：EBS 通用型 SSD；</w:t>
      </w:r>
    </w:p>
    <w:p w14:paraId="3E05D8B7">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（3）描述：通用型 SSD 卷，适用于均衡各种事务型工作负载，包括虚拟桌面、中型单实例数据库、低延迟交互式应用程序、开发和测试、启动卷等；</w:t>
      </w:r>
    </w:p>
    <w:p w14:paraId="0D853CED">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（4）卷大小支持：1GB–16TB；</w:t>
      </w:r>
    </w:p>
    <w:p w14:paraId="3DA54D61">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（5）持久性：99.8%-99.9%的持久性；</w:t>
      </w:r>
    </w:p>
    <w:p w14:paraId="2688427A">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（6）最大 IOPS/卷：16000；</w:t>
      </w:r>
    </w:p>
    <w:p w14:paraId="011AEF74">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（7）最大吞吐量/卷：1000MB/s；</w:t>
      </w:r>
    </w:p>
    <w:p w14:paraId="1643B1B2">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（8）最大IOPS/实例：160000；</w:t>
      </w:r>
    </w:p>
    <w:p w14:paraId="50CFA9CD">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（9）最大吞吐量/实例：4750MB/s；</w:t>
      </w:r>
    </w:p>
    <w:p w14:paraId="7F1E2CCF">
      <w:pPr>
        <w:adjustRightInd w:val="0"/>
        <w:snapToGrid w:val="0"/>
        <w:spacing w:line="360" w:lineRule="auto"/>
        <w:ind w:firstLine="480" w:firstLineChars="200"/>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rPr>
        <w:t>（10）延迟：不超过10毫秒。</w:t>
      </w:r>
    </w:p>
    <w:p w14:paraId="18C2E661">
      <w:pPr>
        <w:adjustRightInd w:val="0"/>
        <w:snapToGrid w:val="0"/>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4.云资源管理服务</w:t>
      </w:r>
    </w:p>
    <w:p w14:paraId="47364513">
      <w:pPr>
        <w:adjustRightInd w:val="0"/>
        <w:snapToGrid w:val="0"/>
        <w:spacing w:line="360" w:lineRule="auto"/>
        <w:ind w:firstLine="480" w:firstLineChars="200"/>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rPr>
        <w:t>在提供云资源的基础上，供应商应提供可持续、智能化、便于实施和操作的云资源优化工具。优化工具采用融合AI技术，提供多云资源分析、成本优化和安全评估等功能，实现学校云资源使用的精细化管理与成本控制。</w:t>
      </w:r>
      <w:r>
        <w:rPr>
          <w:rFonts w:hint="eastAsia" w:ascii="宋体" w:hAnsi="宋体" w:eastAsia="宋体" w:cs="宋体"/>
          <w:color w:val="auto"/>
          <w:sz w:val="24"/>
          <w:highlight w:val="none"/>
          <w:lang w:val="en-US" w:eastAsia="zh-CN"/>
        </w:rPr>
        <w:t>该项内容在合同签订前、投标结束后1个月内应进行演示验证，不符合要求投标内容无效。</w:t>
      </w:r>
    </w:p>
    <w:p w14:paraId="3913DBED">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具体功能和参数要求如下：</w:t>
      </w:r>
    </w:p>
    <w:p w14:paraId="2DF85985">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4.1多云成本分析与可视化</w:t>
      </w:r>
    </w:p>
    <w:p w14:paraId="44FD5BF3">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（1）成本分析与可视化展示；</w:t>
      </w:r>
    </w:p>
    <w:p w14:paraId="0449F70F">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（2）费用报告的解析与导入；</w:t>
      </w:r>
    </w:p>
    <w:p w14:paraId="3DD37EAA">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（3）自定义多维度费用图表与仪表盘配置；</w:t>
      </w:r>
    </w:p>
    <w:p w14:paraId="3E93EC9A">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（4）成本分摊与标签归属分析；</w:t>
      </w:r>
    </w:p>
    <w:p w14:paraId="55E682C1">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4.2云资产扫描与资源映射</w:t>
      </w:r>
    </w:p>
    <w:p w14:paraId="66C5E0D0">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（1）云资源资产扫描；</w:t>
      </w:r>
    </w:p>
    <w:p w14:paraId="1D0F3637">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（2）多账户/多订阅的统一资产视图；</w:t>
      </w:r>
    </w:p>
    <w:p w14:paraId="118666B9">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（3）资源利用率统计与冗余识别；</w:t>
      </w:r>
    </w:p>
    <w:p w14:paraId="59494DEA">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（4）组织架构视图报告与资源归属报告；</w:t>
      </w:r>
    </w:p>
    <w:p w14:paraId="712D3B47">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4.3成本优化与智能建议</w:t>
      </w:r>
    </w:p>
    <w:p w14:paraId="7FB5CA57">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（1）RI与SP智能推荐；</w:t>
      </w:r>
    </w:p>
    <w:p w14:paraId="60A5EB7B">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（2）无用资源识别与回收建议；</w:t>
      </w:r>
    </w:p>
    <w:p w14:paraId="70BFF7B1">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（3）资源调优建议；</w:t>
      </w:r>
    </w:p>
    <w:p w14:paraId="7751A0AE">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4.4云安全与合规评估</w:t>
      </w:r>
    </w:p>
    <w:p w14:paraId="32B2A7D5">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（1）安全最佳实践检查；</w:t>
      </w:r>
    </w:p>
    <w:p w14:paraId="01983F6F">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（2）安全合规基线检查；</w:t>
      </w:r>
    </w:p>
    <w:p w14:paraId="08A03AAA">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（3）身份与访问控制配置检查；</w:t>
      </w:r>
    </w:p>
    <w:p w14:paraId="682CA9E5">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（4）安全配置检查；</w:t>
      </w:r>
    </w:p>
    <w:p w14:paraId="1A0255DF">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（5）安全风险扫描报告生成；</w:t>
      </w:r>
    </w:p>
    <w:p w14:paraId="4ED6E121">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4.5可靠性与运维建议</w:t>
      </w:r>
    </w:p>
    <w:p w14:paraId="1212444E">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（1）可靠性最佳实践评估；</w:t>
      </w:r>
    </w:p>
    <w:p w14:paraId="2F24FD94">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（2）运维优化建议；</w:t>
      </w:r>
    </w:p>
    <w:p w14:paraId="26E41CC6">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4.6可持续云评估</w:t>
      </w:r>
    </w:p>
    <w:p w14:paraId="2B20BC22">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（1）碳排放评估；</w:t>
      </w:r>
    </w:p>
    <w:p w14:paraId="5A3AFD3D">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（2）绿色资源使用率报告；</w:t>
      </w:r>
    </w:p>
    <w:p w14:paraId="0681242C">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（3）仪表盘展示；</w:t>
      </w:r>
    </w:p>
    <w:p w14:paraId="7E9AB6E8">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（4）云环境绿色评级与优化建议；</w:t>
      </w:r>
    </w:p>
    <w:p w14:paraId="6E3B13F0">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4.7AI基础设施成本与运维管理</w:t>
      </w:r>
    </w:p>
    <w:p w14:paraId="4C71BC0A">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（1）实例成本监控；</w:t>
      </w:r>
    </w:p>
    <w:p w14:paraId="4B728C7D">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（2）GPU使用率分析与优化建议；</w:t>
      </w:r>
    </w:p>
    <w:p w14:paraId="5D6A573F">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4.8资源管理与标签治理</w:t>
      </w:r>
    </w:p>
    <w:p w14:paraId="268F3AA9">
      <w:pPr>
        <w:adjustRightInd w:val="0"/>
        <w:snapToGrid w:val="0"/>
        <w:spacing w:line="360" w:lineRule="auto"/>
        <w:ind w:firstLine="960" w:firstLine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标签应用与治理支持</w:t>
      </w:r>
    </w:p>
    <w:p w14:paraId="48FC0BB9">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4.9报告与评估支持</w:t>
      </w:r>
    </w:p>
    <w:p w14:paraId="08D198D3">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（1）成本与资源使用趋势月报；</w:t>
      </w:r>
    </w:p>
    <w:p w14:paraId="68497C3E">
      <w:pPr>
        <w:adjustRightInd w:val="0"/>
        <w:snapToGrid w:val="0"/>
        <w:spacing w:line="360" w:lineRule="auto"/>
        <w:ind w:firstLine="480" w:firstLineChars="200"/>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rPr>
        <w:t>（2）安全合规与优化执行进度报告；</w:t>
      </w:r>
    </w:p>
    <w:p w14:paraId="758D1753">
      <w:pPr>
        <w:adjustRightInd w:val="0"/>
        <w:snapToGrid w:val="0"/>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5.其他服务要求</w:t>
      </w:r>
    </w:p>
    <w:p w14:paraId="331DCEAB">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5.1供应商须将服务授权按采购人要求部署至采购人现有账户中；</w:t>
      </w:r>
    </w:p>
    <w:p w14:paraId="0516CAC3">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5.2供应商应在服务期内提供系统维护与技术支持；</w:t>
      </w:r>
    </w:p>
    <w:p w14:paraId="26E5ADA0">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5.3供应商应提供日常培训与咨询服务；</w:t>
      </w:r>
    </w:p>
    <w:p w14:paraId="6D6F7BAE">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5.4供应商不能更改目前学校目前使用的云计算帐户以及所有的运行环境。</w:t>
      </w:r>
    </w:p>
    <w:p w14:paraId="2D868E5E">
      <w:pPr>
        <w:adjustRightInd w:val="0"/>
        <w:snapToGrid w:val="0"/>
        <w:spacing w:line="360" w:lineRule="auto"/>
        <w:ind w:firstLine="480" w:firstLineChars="200"/>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5.5 供应商提供的服务，如不在当前云数据中心，应提供全面的迁移服务，包括额外涉及到的关联系统和设备改造升级或迁移，达到和目前使用完全一致的功能、性能和安全水平，供应商自行负担额外产生的所有费用，相关费用包含在响应报价中，采购人不再另行支付。</w:t>
      </w:r>
    </w:p>
    <w:p w14:paraId="65EE254D">
      <w:pPr>
        <w:keepNext w:val="0"/>
        <w:keepLines w:val="0"/>
        <w:pageBreakBefore w:val="0"/>
        <w:widowControl w:val="0"/>
        <w:numPr>
          <w:ilvl w:val="0"/>
          <w:numId w:val="0"/>
        </w:numPr>
        <w:kinsoku/>
        <w:overflowPunct/>
        <w:topLinePunct w:val="0"/>
        <w:autoSpaceDE/>
        <w:autoSpaceDN/>
        <w:bidi w:val="0"/>
        <w:adjustRightInd w:val="0"/>
        <w:snapToGrid w:val="0"/>
        <w:spacing w:line="360" w:lineRule="auto"/>
        <w:ind w:left="0" w:leftChars="0" w:firstLine="482" w:firstLineChars="200"/>
        <w:rPr>
          <w:rFonts w:hint="eastAsia" w:ascii="宋体" w:hAnsi="宋体" w:eastAsia="宋体" w:cs="宋体"/>
          <w:b/>
          <w:sz w:val="24"/>
          <w:szCs w:val="24"/>
          <w:highlight w:val="none"/>
        </w:rPr>
      </w:pPr>
      <w:r>
        <w:rPr>
          <w:rFonts w:hint="eastAsia" w:ascii="宋体" w:hAnsi="宋体" w:eastAsia="宋体" w:cs="宋体"/>
          <w:b/>
          <w:kern w:val="2"/>
          <w:sz w:val="24"/>
          <w:szCs w:val="24"/>
          <w:lang w:val="en-US" w:eastAsia="zh-CN" w:bidi="ar-SA"/>
        </w:rPr>
        <w:t xml:space="preserve">第四条 </w:t>
      </w:r>
      <w:r>
        <w:rPr>
          <w:rFonts w:hint="eastAsia" w:ascii="宋体" w:hAnsi="宋体" w:eastAsia="宋体" w:cs="宋体"/>
          <w:b/>
          <w:sz w:val="24"/>
          <w:szCs w:val="24"/>
          <w:highlight w:val="none"/>
        </w:rPr>
        <w:t>服务费用及支付方式</w:t>
      </w:r>
    </w:p>
    <w:p w14:paraId="38F34FB7">
      <w:pPr>
        <w:keepNext w:val="0"/>
        <w:keepLines w:val="0"/>
        <w:pageBreakBefore w:val="0"/>
        <w:widowControl w:val="0"/>
        <w:numPr>
          <w:ilvl w:val="0"/>
          <w:numId w:val="0"/>
        </w:numPr>
        <w:tabs>
          <w:tab w:val="left" w:pos="780"/>
        </w:tabs>
        <w:kinsoku/>
        <w:overflowPunct/>
        <w:topLinePunct w:val="0"/>
        <w:autoSpaceDE/>
        <w:autoSpaceDN/>
        <w:bidi w:val="0"/>
        <w:adjustRightInd w:val="0"/>
        <w:snapToGrid w:val="0"/>
        <w:spacing w:line="360" w:lineRule="auto"/>
        <w:ind w:left="0" w:leftChars="0" w:firstLine="420" w:firstLineChars="200"/>
        <w:rPr>
          <w:rFonts w:hint="eastAsia" w:ascii="宋体" w:hAnsi="宋体" w:eastAsia="宋体" w:cs="宋体"/>
          <w:b w:val="0"/>
          <w:bCs/>
          <w:sz w:val="24"/>
          <w:szCs w:val="24"/>
          <w:highlight w:val="none"/>
        </w:rPr>
      </w:pPr>
      <w:r>
        <w:rPr>
          <w:rFonts w:hint="eastAsia" w:ascii="宋体" w:hAnsi="宋体" w:eastAsia="宋体" w:cs="宋体"/>
          <w:b w:val="0"/>
          <w:bCs/>
          <w:kern w:val="2"/>
          <w:sz w:val="21"/>
          <w:szCs w:val="21"/>
          <w:highlight w:val="none"/>
          <w:lang w:val="en-US" w:eastAsia="zh-CN" w:bidi="ar-SA"/>
        </w:rPr>
        <w:t>（一）</w:t>
      </w:r>
      <w:r>
        <w:rPr>
          <w:rFonts w:hint="eastAsia" w:ascii="宋体" w:hAnsi="宋体" w:eastAsia="宋体" w:cs="宋体"/>
          <w:b w:val="0"/>
          <w:bCs/>
          <w:sz w:val="24"/>
          <w:szCs w:val="24"/>
          <w:highlight w:val="none"/>
        </w:rPr>
        <w:t>本合同总金额为人民币</w:t>
      </w:r>
      <w:r>
        <w:rPr>
          <w:rFonts w:hint="eastAsia" w:ascii="宋体" w:hAnsi="宋体" w:eastAsia="宋体" w:cs="宋体"/>
          <w:b w:val="0"/>
          <w:bCs/>
          <w:sz w:val="24"/>
          <w:szCs w:val="24"/>
          <w:highlight w:val="none"/>
          <w:u w:val="single"/>
        </w:rPr>
        <w:t xml:space="preserve">  </w:t>
      </w:r>
      <w:r>
        <w:rPr>
          <w:rFonts w:hint="eastAsia" w:ascii="宋体" w:hAnsi="宋体" w:eastAsia="宋体" w:cs="宋体"/>
          <w:b w:val="0"/>
          <w:bCs/>
          <w:sz w:val="24"/>
          <w:szCs w:val="24"/>
          <w:highlight w:val="none"/>
          <w:u w:val="single"/>
          <w:lang w:val="en-US" w:eastAsia="zh-CN"/>
        </w:rPr>
        <w:t xml:space="preserve">  </w:t>
      </w:r>
      <w:r>
        <w:rPr>
          <w:rFonts w:hint="eastAsia" w:ascii="宋体" w:hAnsi="宋体" w:eastAsia="宋体" w:cs="宋体"/>
          <w:b w:val="0"/>
          <w:bCs/>
          <w:sz w:val="24"/>
          <w:szCs w:val="24"/>
          <w:highlight w:val="none"/>
          <w:u w:val="single"/>
        </w:rPr>
        <w:t xml:space="preserve">  </w:t>
      </w:r>
      <w:r>
        <w:rPr>
          <w:rFonts w:hint="eastAsia" w:ascii="宋体" w:hAnsi="宋体" w:eastAsia="宋体" w:cs="宋体"/>
          <w:b w:val="0"/>
          <w:bCs/>
          <w:sz w:val="24"/>
          <w:szCs w:val="24"/>
          <w:highlight w:val="none"/>
        </w:rPr>
        <w:t>元(¥</w:t>
      </w:r>
      <w:r>
        <w:rPr>
          <w:rFonts w:hint="eastAsia" w:ascii="宋体" w:hAnsi="宋体" w:eastAsia="宋体" w:cs="宋体"/>
          <w:b w:val="0"/>
          <w:bCs/>
          <w:sz w:val="24"/>
          <w:szCs w:val="24"/>
          <w:highlight w:val="none"/>
          <w:u w:val="single"/>
        </w:rPr>
        <w:t xml:space="preserve">  </w:t>
      </w:r>
      <w:r>
        <w:rPr>
          <w:rFonts w:hint="eastAsia" w:ascii="宋体" w:hAnsi="宋体" w:eastAsia="宋体" w:cs="宋体"/>
          <w:b w:val="0"/>
          <w:bCs/>
          <w:sz w:val="24"/>
          <w:szCs w:val="24"/>
          <w:highlight w:val="none"/>
          <w:u w:val="single"/>
          <w:lang w:val="en-US" w:eastAsia="zh-CN"/>
        </w:rPr>
        <w:t xml:space="preserve">   </w:t>
      </w:r>
      <w:r>
        <w:rPr>
          <w:rFonts w:hint="eastAsia" w:ascii="宋体" w:hAnsi="宋体" w:eastAsia="宋体" w:cs="宋体"/>
          <w:b w:val="0"/>
          <w:bCs/>
          <w:sz w:val="24"/>
          <w:szCs w:val="24"/>
          <w:highlight w:val="none"/>
          <w:u w:val="single"/>
        </w:rPr>
        <w:t xml:space="preserve">  </w:t>
      </w:r>
      <w:r>
        <w:rPr>
          <w:rFonts w:hint="eastAsia" w:ascii="宋体" w:hAnsi="宋体" w:eastAsia="宋体" w:cs="宋体"/>
          <w:b w:val="0"/>
          <w:bCs/>
          <w:sz w:val="24"/>
          <w:szCs w:val="24"/>
          <w:highlight w:val="none"/>
        </w:rPr>
        <w:t>)。本项目包括但不限于乙方为提供服务所产生的全部成本、预期利益、售后服务、税费和合同中规定乙方应承担的其他义务的费用等。</w:t>
      </w:r>
    </w:p>
    <w:p w14:paraId="168FA54A">
      <w:pPr>
        <w:keepNext w:val="0"/>
        <w:keepLines w:val="0"/>
        <w:pageBreakBefore w:val="0"/>
        <w:widowControl w:val="0"/>
        <w:numPr>
          <w:ilvl w:val="0"/>
          <w:numId w:val="0"/>
        </w:numPr>
        <w:tabs>
          <w:tab w:val="left" w:pos="780"/>
        </w:tabs>
        <w:kinsoku/>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eastAsia="zh-CN"/>
        </w:rPr>
        <w:t>（二）合同签订后，乙方向甲方开具全额发票，甲方向乙方支付合同总金额的100.00%。甲方向乙方付款前，乙方应向甲方开具符合甲方要求的发票，若因乙方未开具或逾期开具合法有效的发票，甲方有权顺延付款期限且不承担逾期付款责任。</w:t>
      </w:r>
    </w:p>
    <w:p w14:paraId="0AB4866A">
      <w:pPr>
        <w:pStyle w:val="10"/>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bCs/>
          <w:sz w:val="24"/>
          <w:szCs w:val="24"/>
          <w:highlight w:val="none"/>
          <w:u w:val="single"/>
        </w:rPr>
      </w:pPr>
      <w:r>
        <w:rPr>
          <w:rFonts w:hint="eastAsia" w:ascii="宋体" w:hAnsi="宋体" w:eastAsia="宋体" w:cs="宋体"/>
          <w:b w:val="0"/>
          <w:bCs/>
          <w:color w:val="auto"/>
          <w:kern w:val="2"/>
          <w:sz w:val="24"/>
          <w:szCs w:val="24"/>
          <w:highlight w:val="none"/>
          <w:lang w:val="en-US" w:eastAsia="zh-CN" w:bidi="ar-SA"/>
        </w:rPr>
        <w:t>若成交人为中小企业，本合同所约定的支付条款将按《保障中小企业款项支付条例》的规定作出相应调整。</w:t>
      </w:r>
      <w:r>
        <w:rPr>
          <w:rFonts w:hint="eastAsia" w:ascii="宋体" w:hAnsi="宋体" w:eastAsia="宋体" w:cs="宋体"/>
          <w:b w:val="0"/>
          <w:bCs/>
          <w:color w:val="auto"/>
          <w:sz w:val="24"/>
          <w:szCs w:val="24"/>
          <w:highlight w:val="none"/>
        </w:rPr>
        <w:t xml:space="preserve"> </w:t>
      </w:r>
    </w:p>
    <w:p w14:paraId="2F71F5CD">
      <w:pPr>
        <w:keepNext w:val="0"/>
        <w:keepLines w:val="0"/>
        <w:pageBreakBefore w:val="0"/>
        <w:widowControl w:val="0"/>
        <w:numPr>
          <w:ilvl w:val="0"/>
          <w:numId w:val="0"/>
        </w:numPr>
        <w:kinsoku/>
        <w:overflowPunct/>
        <w:topLinePunct w:val="0"/>
        <w:autoSpaceDE/>
        <w:autoSpaceDN/>
        <w:bidi w:val="0"/>
        <w:adjustRightInd w:val="0"/>
        <w:snapToGrid w:val="0"/>
        <w:spacing w:line="360" w:lineRule="auto"/>
        <w:ind w:left="0" w:leftChars="0" w:firstLine="482" w:firstLineChars="200"/>
        <w:rPr>
          <w:rFonts w:hint="eastAsia" w:ascii="宋体" w:hAnsi="宋体" w:eastAsia="宋体" w:cs="宋体"/>
          <w:b/>
          <w:sz w:val="24"/>
          <w:szCs w:val="24"/>
          <w:highlight w:val="none"/>
        </w:rPr>
      </w:pPr>
      <w:r>
        <w:rPr>
          <w:rFonts w:hint="eastAsia" w:ascii="宋体" w:hAnsi="宋体" w:eastAsia="宋体" w:cs="宋体"/>
          <w:b/>
          <w:kern w:val="2"/>
          <w:sz w:val="24"/>
          <w:szCs w:val="24"/>
          <w:lang w:val="en-US" w:eastAsia="zh-CN" w:bidi="ar-SA"/>
        </w:rPr>
        <w:t xml:space="preserve">第五条 </w:t>
      </w:r>
      <w:r>
        <w:rPr>
          <w:rFonts w:hint="eastAsia" w:ascii="宋体" w:hAnsi="宋体" w:eastAsia="宋体" w:cs="宋体"/>
          <w:b/>
          <w:sz w:val="24"/>
          <w:szCs w:val="24"/>
          <w:highlight w:val="none"/>
        </w:rPr>
        <w:t>知识产权</w:t>
      </w:r>
    </w:p>
    <w:p w14:paraId="21CEC566">
      <w:pPr>
        <w:keepNext w:val="0"/>
        <w:keepLines w:val="0"/>
        <w:pageBreakBefore w:val="0"/>
        <w:widowControl w:val="0"/>
        <w:tabs>
          <w:tab w:val="left" w:pos="1440"/>
        </w:tabs>
        <w:kinsoku/>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szCs w:val="24"/>
          <w:highlight w:val="none"/>
        </w:rPr>
      </w:pPr>
      <w:r>
        <w:rPr>
          <w:rFonts w:hint="eastAsia" w:ascii="宋体" w:hAnsi="宋体" w:cs="宋体"/>
          <w:sz w:val="24"/>
          <w:szCs w:val="24"/>
          <w:highlight w:val="none"/>
          <w:lang w:eastAsia="zh-CN"/>
        </w:rPr>
        <w:t>资源库</w:t>
      </w:r>
      <w:r>
        <w:rPr>
          <w:rFonts w:hint="eastAsia" w:ascii="宋体" w:hAnsi="宋体" w:eastAsia="宋体" w:cs="宋体"/>
          <w:sz w:val="24"/>
          <w:szCs w:val="24"/>
          <w:highlight w:val="none"/>
        </w:rPr>
        <w:t>知识产权归乙方所有，甲方享有服务期内的使用权。甲方应尊重和保护乙方的知识产权，不得独自、或与任何第三方合作或授权任何第三方对乙方的产品进行翻译、复制、解密、反编译、反汇编和其他反向工程。甲方使用该软件的范围仅限于本校内部本科教学使用，不得在未经乙方书面同意的情况下自行将软件和平台赠送或转让给其他学校或机构使用，不论是否收取费用。</w:t>
      </w:r>
    </w:p>
    <w:p w14:paraId="72AFAEE7">
      <w:pPr>
        <w:keepNext w:val="0"/>
        <w:keepLines w:val="0"/>
        <w:pageBreakBefore w:val="0"/>
        <w:widowControl w:val="0"/>
        <w:tabs>
          <w:tab w:val="left" w:pos="1440"/>
        </w:tabs>
        <w:kinsoku/>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若甲方违反上述约定，乙方有权单方终止本协议，甲方应向乙方支付甲方违约所得全部收益（如有）及乙方因此造成的损失。</w:t>
      </w:r>
    </w:p>
    <w:p w14:paraId="7E4F08EC">
      <w:pPr>
        <w:keepNext w:val="0"/>
        <w:keepLines w:val="0"/>
        <w:pageBreakBefore w:val="0"/>
        <w:widowControl w:val="0"/>
        <w:numPr>
          <w:ilvl w:val="0"/>
          <w:numId w:val="0"/>
        </w:numPr>
        <w:kinsoku/>
        <w:overflowPunct/>
        <w:topLinePunct w:val="0"/>
        <w:autoSpaceDE/>
        <w:autoSpaceDN/>
        <w:bidi w:val="0"/>
        <w:adjustRightInd w:val="0"/>
        <w:snapToGrid w:val="0"/>
        <w:spacing w:line="360" w:lineRule="auto"/>
        <w:ind w:left="0" w:leftChars="0" w:firstLine="482" w:firstLineChars="200"/>
        <w:rPr>
          <w:rFonts w:hint="eastAsia" w:ascii="宋体" w:hAnsi="宋体" w:eastAsia="宋体" w:cs="宋体"/>
          <w:b/>
          <w:sz w:val="24"/>
          <w:szCs w:val="24"/>
          <w:highlight w:val="none"/>
        </w:rPr>
      </w:pPr>
      <w:r>
        <w:rPr>
          <w:rFonts w:hint="eastAsia" w:ascii="宋体" w:hAnsi="宋体" w:eastAsia="宋体" w:cs="宋体"/>
          <w:b/>
          <w:kern w:val="2"/>
          <w:sz w:val="24"/>
          <w:szCs w:val="24"/>
          <w:lang w:val="en-US" w:eastAsia="zh-CN" w:bidi="ar-SA"/>
        </w:rPr>
        <w:t xml:space="preserve">第六条 </w:t>
      </w:r>
      <w:r>
        <w:rPr>
          <w:rFonts w:hint="eastAsia" w:ascii="宋体" w:hAnsi="宋体" w:eastAsia="宋体" w:cs="宋体"/>
          <w:b/>
          <w:sz w:val="24"/>
          <w:szCs w:val="24"/>
          <w:highlight w:val="none"/>
        </w:rPr>
        <w:t>无产权瑕疵条款</w:t>
      </w:r>
    </w:p>
    <w:p w14:paraId="2B10202C">
      <w:pPr>
        <w:keepNext w:val="0"/>
        <w:keepLines w:val="0"/>
        <w:pageBreakBefore w:val="0"/>
        <w:widowControl w:val="0"/>
        <w:tabs>
          <w:tab w:val="left" w:pos="1440"/>
        </w:tabs>
        <w:kinsoku/>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乙方保证所提供的服务的所有权完全属于乙方且无任何抵押、查封等产权瑕疵。如有产权瑕疵的，视为乙方违约。乙方应负担由此而产生的一切损失。</w:t>
      </w:r>
    </w:p>
    <w:p w14:paraId="5FD4BBF9">
      <w:pPr>
        <w:keepNext w:val="0"/>
        <w:keepLines w:val="0"/>
        <w:pageBreakBefore w:val="0"/>
        <w:widowControl w:val="0"/>
        <w:numPr>
          <w:ilvl w:val="0"/>
          <w:numId w:val="0"/>
        </w:numPr>
        <w:kinsoku/>
        <w:overflowPunct/>
        <w:topLinePunct w:val="0"/>
        <w:autoSpaceDE/>
        <w:autoSpaceDN/>
        <w:bidi w:val="0"/>
        <w:adjustRightInd w:val="0"/>
        <w:snapToGrid w:val="0"/>
        <w:spacing w:line="360" w:lineRule="auto"/>
        <w:ind w:left="0" w:leftChars="0" w:firstLine="482" w:firstLineChars="200"/>
        <w:rPr>
          <w:rFonts w:hint="eastAsia" w:ascii="宋体" w:hAnsi="宋体" w:eastAsia="宋体" w:cs="宋体"/>
          <w:b/>
          <w:sz w:val="24"/>
          <w:szCs w:val="24"/>
          <w:highlight w:val="none"/>
        </w:rPr>
      </w:pPr>
      <w:r>
        <w:rPr>
          <w:rFonts w:hint="eastAsia" w:ascii="宋体" w:hAnsi="宋体" w:eastAsia="宋体" w:cs="宋体"/>
          <w:b/>
          <w:kern w:val="2"/>
          <w:sz w:val="24"/>
          <w:szCs w:val="24"/>
          <w:lang w:val="en-US" w:eastAsia="zh-CN" w:bidi="ar-SA"/>
        </w:rPr>
        <w:t xml:space="preserve">第七条 </w:t>
      </w:r>
      <w:r>
        <w:rPr>
          <w:rFonts w:hint="eastAsia" w:ascii="宋体" w:hAnsi="宋体" w:eastAsia="宋体" w:cs="宋体"/>
          <w:b/>
          <w:sz w:val="24"/>
          <w:szCs w:val="24"/>
          <w:highlight w:val="none"/>
        </w:rPr>
        <w:t>甲方的权利和义务</w:t>
      </w:r>
    </w:p>
    <w:p w14:paraId="52B09F7D">
      <w:pPr>
        <w:keepNext w:val="0"/>
        <w:keepLines w:val="0"/>
        <w:pageBreakBefore w:val="0"/>
        <w:widowControl w:val="0"/>
        <w:kinsoku/>
        <w:overflowPunct/>
        <w:topLinePunct w:val="0"/>
        <w:autoSpaceDE/>
        <w:autoSpaceDN/>
        <w:bidi w:val="0"/>
        <w:adjustRightInd w:val="0"/>
        <w:snapToGrid w:val="0"/>
        <w:spacing w:line="360" w:lineRule="auto"/>
        <w:ind w:left="0" w:leftChars="0" w:firstLine="480" w:firstLineChars="200"/>
        <w:jc w:val="left"/>
        <w:textAlignment w:val="baseline"/>
        <w:rPr>
          <w:rFonts w:hint="eastAsia" w:ascii="宋体" w:hAnsi="宋体" w:eastAsia="宋体" w:cs="宋体"/>
          <w:bCs/>
          <w:sz w:val="24"/>
          <w:szCs w:val="24"/>
          <w:highlight w:val="none"/>
        </w:rPr>
      </w:pPr>
      <w:r>
        <w:rPr>
          <w:rFonts w:hint="eastAsia" w:ascii="宋体" w:hAnsi="宋体" w:eastAsia="宋体" w:cs="宋体"/>
          <w:bCs/>
          <w:sz w:val="24"/>
          <w:szCs w:val="24"/>
          <w:highlight w:val="none"/>
        </w:rPr>
        <w:t>1</w:t>
      </w:r>
      <w:r>
        <w:rPr>
          <w:rFonts w:hint="eastAsia" w:ascii="宋体" w:hAnsi="宋体" w:eastAsia="宋体" w:cs="宋体"/>
          <w:bCs/>
          <w:sz w:val="24"/>
          <w:szCs w:val="24"/>
          <w:highlight w:val="none"/>
          <w:lang w:val="en-US" w:eastAsia="zh-CN"/>
        </w:rPr>
        <w:t>.</w:t>
      </w:r>
      <w:r>
        <w:rPr>
          <w:rFonts w:hint="eastAsia" w:ascii="宋体" w:hAnsi="宋体" w:eastAsia="宋体" w:cs="宋体"/>
          <w:bCs/>
          <w:sz w:val="24"/>
          <w:szCs w:val="24"/>
          <w:highlight w:val="none"/>
        </w:rPr>
        <w:t>甲方有权对合同规定范围内乙方的服务行为进行监督和检查，拥有监管权。有权定期核对乙方提供服务所配备的人员数量。对甲方认为不合理的部分有权下达整改通知书，并要求乙方限期整改。</w:t>
      </w:r>
    </w:p>
    <w:p w14:paraId="6D99A32A">
      <w:pPr>
        <w:keepNext w:val="0"/>
        <w:keepLines w:val="0"/>
        <w:pageBreakBefore w:val="0"/>
        <w:widowControl w:val="0"/>
        <w:kinsoku/>
        <w:overflowPunct/>
        <w:topLinePunct w:val="0"/>
        <w:autoSpaceDE/>
        <w:autoSpaceDN/>
        <w:bidi w:val="0"/>
        <w:adjustRightInd w:val="0"/>
        <w:snapToGrid w:val="0"/>
        <w:spacing w:line="360" w:lineRule="auto"/>
        <w:ind w:left="0" w:leftChars="0" w:firstLine="480" w:firstLineChars="200"/>
        <w:jc w:val="left"/>
        <w:textAlignment w:val="baseline"/>
        <w:rPr>
          <w:rFonts w:hint="eastAsia" w:ascii="宋体" w:hAnsi="宋体" w:eastAsia="宋体" w:cs="宋体"/>
          <w:bCs/>
          <w:sz w:val="24"/>
          <w:szCs w:val="24"/>
          <w:highlight w:val="none"/>
        </w:rPr>
      </w:pPr>
      <w:r>
        <w:rPr>
          <w:rFonts w:hint="eastAsia" w:ascii="宋体" w:hAnsi="宋体" w:eastAsia="宋体" w:cs="宋体"/>
          <w:bCs/>
          <w:sz w:val="24"/>
          <w:szCs w:val="24"/>
          <w:highlight w:val="none"/>
        </w:rPr>
        <w:t>2</w:t>
      </w:r>
      <w:r>
        <w:rPr>
          <w:rFonts w:hint="eastAsia" w:ascii="宋体" w:hAnsi="宋体" w:eastAsia="宋体" w:cs="宋体"/>
          <w:bCs/>
          <w:sz w:val="24"/>
          <w:szCs w:val="24"/>
          <w:highlight w:val="none"/>
          <w:lang w:val="en-US" w:eastAsia="zh-CN"/>
        </w:rPr>
        <w:t>.</w:t>
      </w:r>
      <w:r>
        <w:rPr>
          <w:rFonts w:hint="eastAsia" w:ascii="宋体" w:hAnsi="宋体" w:eastAsia="宋体" w:cs="宋体"/>
          <w:bCs/>
          <w:sz w:val="24"/>
          <w:szCs w:val="24"/>
          <w:highlight w:val="none"/>
        </w:rPr>
        <w:t>甲方有权依据双方签订的考评办法对乙方提供的服务进行定期考评。</w:t>
      </w:r>
    </w:p>
    <w:p w14:paraId="7B1E6B3A">
      <w:pPr>
        <w:keepNext w:val="0"/>
        <w:keepLines w:val="0"/>
        <w:pageBreakBefore w:val="0"/>
        <w:widowControl w:val="0"/>
        <w:kinsoku/>
        <w:overflowPunct/>
        <w:topLinePunct w:val="0"/>
        <w:autoSpaceDE/>
        <w:autoSpaceDN/>
        <w:bidi w:val="0"/>
        <w:adjustRightInd w:val="0"/>
        <w:snapToGrid w:val="0"/>
        <w:spacing w:line="360" w:lineRule="auto"/>
        <w:ind w:left="0" w:leftChars="0" w:firstLine="480" w:firstLineChars="200"/>
        <w:jc w:val="left"/>
        <w:textAlignment w:val="baseline"/>
        <w:rPr>
          <w:rFonts w:hint="eastAsia" w:ascii="宋体" w:hAnsi="宋体" w:eastAsia="宋体" w:cs="宋体"/>
          <w:bCs/>
          <w:sz w:val="24"/>
          <w:szCs w:val="24"/>
          <w:highlight w:val="none"/>
        </w:rPr>
      </w:pPr>
      <w:r>
        <w:rPr>
          <w:rFonts w:hint="eastAsia" w:ascii="宋体" w:hAnsi="宋体" w:eastAsia="宋体" w:cs="宋体"/>
          <w:bCs/>
          <w:sz w:val="24"/>
          <w:szCs w:val="24"/>
          <w:highlight w:val="none"/>
        </w:rPr>
        <w:t>3</w:t>
      </w:r>
      <w:r>
        <w:rPr>
          <w:rFonts w:hint="eastAsia" w:ascii="宋体" w:hAnsi="宋体" w:eastAsia="宋体" w:cs="宋体"/>
          <w:bCs/>
          <w:sz w:val="24"/>
          <w:szCs w:val="24"/>
          <w:highlight w:val="none"/>
          <w:lang w:val="en-US" w:eastAsia="zh-CN"/>
        </w:rPr>
        <w:t>.</w:t>
      </w:r>
      <w:r>
        <w:rPr>
          <w:rFonts w:hint="eastAsia" w:ascii="宋体" w:hAnsi="宋体" w:eastAsia="宋体" w:cs="宋体"/>
          <w:bCs/>
          <w:sz w:val="24"/>
          <w:szCs w:val="24"/>
          <w:highlight w:val="none"/>
        </w:rPr>
        <w:t>负责检查监督乙方管理工作的实施及制度的执行情况。</w:t>
      </w:r>
    </w:p>
    <w:p w14:paraId="69FDED78">
      <w:pPr>
        <w:keepNext w:val="0"/>
        <w:keepLines w:val="0"/>
        <w:pageBreakBefore w:val="0"/>
        <w:widowControl w:val="0"/>
        <w:kinsoku/>
        <w:overflowPunct/>
        <w:topLinePunct w:val="0"/>
        <w:autoSpaceDE/>
        <w:autoSpaceDN/>
        <w:bidi w:val="0"/>
        <w:adjustRightInd w:val="0"/>
        <w:snapToGrid w:val="0"/>
        <w:spacing w:line="360" w:lineRule="auto"/>
        <w:ind w:left="0" w:leftChars="0" w:firstLine="480" w:firstLineChars="200"/>
        <w:jc w:val="left"/>
        <w:textAlignment w:val="baseline"/>
        <w:rPr>
          <w:rFonts w:hint="eastAsia" w:ascii="宋体" w:hAnsi="宋体" w:eastAsia="宋体" w:cs="宋体"/>
          <w:bCs/>
          <w:sz w:val="24"/>
          <w:szCs w:val="24"/>
          <w:highlight w:val="none"/>
        </w:rPr>
      </w:pPr>
      <w:r>
        <w:rPr>
          <w:rFonts w:hint="eastAsia" w:ascii="宋体" w:hAnsi="宋体" w:eastAsia="宋体" w:cs="宋体"/>
          <w:bCs/>
          <w:sz w:val="24"/>
          <w:szCs w:val="24"/>
          <w:highlight w:val="none"/>
        </w:rPr>
        <w:t>4</w:t>
      </w:r>
      <w:r>
        <w:rPr>
          <w:rFonts w:hint="eastAsia" w:ascii="宋体" w:hAnsi="宋体" w:eastAsia="宋体" w:cs="宋体"/>
          <w:bCs/>
          <w:sz w:val="24"/>
          <w:szCs w:val="24"/>
          <w:highlight w:val="none"/>
          <w:lang w:val="en-US" w:eastAsia="zh-CN"/>
        </w:rPr>
        <w:t>.</w:t>
      </w:r>
      <w:r>
        <w:rPr>
          <w:rFonts w:hint="eastAsia" w:ascii="宋体" w:hAnsi="宋体" w:eastAsia="宋体" w:cs="宋体"/>
          <w:bCs/>
          <w:sz w:val="24"/>
          <w:szCs w:val="24"/>
          <w:highlight w:val="none"/>
        </w:rPr>
        <w:t>根据本合同规定，按时向乙方支付应付服务费用。</w:t>
      </w:r>
    </w:p>
    <w:p w14:paraId="79B65502">
      <w:pPr>
        <w:keepNext w:val="0"/>
        <w:keepLines w:val="0"/>
        <w:pageBreakBefore w:val="0"/>
        <w:widowControl w:val="0"/>
        <w:kinsoku/>
        <w:overflowPunct/>
        <w:topLinePunct w:val="0"/>
        <w:autoSpaceDE/>
        <w:autoSpaceDN/>
        <w:bidi w:val="0"/>
        <w:adjustRightInd w:val="0"/>
        <w:snapToGrid w:val="0"/>
        <w:spacing w:line="360" w:lineRule="auto"/>
        <w:ind w:left="0" w:leftChars="0" w:firstLine="480" w:firstLineChars="200"/>
        <w:jc w:val="left"/>
        <w:textAlignment w:val="baseline"/>
        <w:rPr>
          <w:rFonts w:hint="eastAsia" w:ascii="宋体" w:hAnsi="宋体" w:eastAsia="宋体" w:cs="宋体"/>
          <w:bCs/>
          <w:sz w:val="24"/>
          <w:szCs w:val="24"/>
          <w:highlight w:val="none"/>
        </w:rPr>
      </w:pPr>
      <w:r>
        <w:rPr>
          <w:rFonts w:hint="eastAsia" w:ascii="宋体" w:hAnsi="宋体" w:eastAsia="宋体" w:cs="宋体"/>
          <w:bCs/>
          <w:sz w:val="24"/>
          <w:szCs w:val="24"/>
          <w:highlight w:val="none"/>
        </w:rPr>
        <w:t>5</w:t>
      </w:r>
      <w:r>
        <w:rPr>
          <w:rFonts w:hint="eastAsia" w:ascii="宋体" w:hAnsi="宋体" w:eastAsia="宋体" w:cs="宋体"/>
          <w:bCs/>
          <w:sz w:val="24"/>
          <w:szCs w:val="24"/>
          <w:highlight w:val="none"/>
          <w:lang w:val="en-US" w:eastAsia="zh-CN"/>
        </w:rPr>
        <w:t>.</w:t>
      </w:r>
      <w:r>
        <w:rPr>
          <w:rFonts w:hint="eastAsia" w:ascii="宋体" w:hAnsi="宋体" w:eastAsia="宋体" w:cs="宋体"/>
          <w:bCs/>
          <w:sz w:val="24"/>
          <w:szCs w:val="24"/>
          <w:highlight w:val="none"/>
        </w:rPr>
        <w:t>国家法律、法规所规定由甲方承担的其它责任。</w:t>
      </w:r>
    </w:p>
    <w:p w14:paraId="33C0E412">
      <w:pPr>
        <w:keepNext w:val="0"/>
        <w:keepLines w:val="0"/>
        <w:pageBreakBefore w:val="0"/>
        <w:widowControl w:val="0"/>
        <w:numPr>
          <w:ilvl w:val="0"/>
          <w:numId w:val="0"/>
        </w:numPr>
        <w:kinsoku/>
        <w:overflowPunct/>
        <w:topLinePunct w:val="0"/>
        <w:autoSpaceDE/>
        <w:autoSpaceDN/>
        <w:bidi w:val="0"/>
        <w:adjustRightInd w:val="0"/>
        <w:snapToGrid w:val="0"/>
        <w:spacing w:line="360" w:lineRule="auto"/>
        <w:ind w:left="0" w:leftChars="0" w:firstLine="482" w:firstLineChars="200"/>
        <w:rPr>
          <w:rFonts w:hint="eastAsia" w:ascii="宋体" w:hAnsi="宋体" w:eastAsia="宋体" w:cs="宋体"/>
          <w:b/>
          <w:sz w:val="24"/>
          <w:szCs w:val="24"/>
          <w:highlight w:val="none"/>
        </w:rPr>
      </w:pPr>
      <w:r>
        <w:rPr>
          <w:rFonts w:hint="eastAsia" w:ascii="宋体" w:hAnsi="宋体" w:eastAsia="宋体" w:cs="宋体"/>
          <w:b/>
          <w:kern w:val="2"/>
          <w:sz w:val="24"/>
          <w:szCs w:val="24"/>
          <w:lang w:val="en-US" w:eastAsia="zh-CN" w:bidi="ar-SA"/>
        </w:rPr>
        <w:t xml:space="preserve">第八条 </w:t>
      </w:r>
      <w:r>
        <w:rPr>
          <w:rFonts w:hint="eastAsia" w:ascii="宋体" w:hAnsi="宋体" w:eastAsia="宋体" w:cs="宋体"/>
          <w:b/>
          <w:sz w:val="24"/>
          <w:szCs w:val="24"/>
          <w:highlight w:val="none"/>
        </w:rPr>
        <w:t>乙方的权利和义务</w:t>
      </w:r>
    </w:p>
    <w:p w14:paraId="216B55B4">
      <w:pPr>
        <w:keepNext w:val="0"/>
        <w:keepLines w:val="0"/>
        <w:pageBreakBefore w:val="0"/>
        <w:widowControl w:val="0"/>
        <w:kinsoku/>
        <w:overflowPunct/>
        <w:topLinePunct w:val="0"/>
        <w:autoSpaceDE/>
        <w:autoSpaceDN/>
        <w:bidi w:val="0"/>
        <w:adjustRightInd w:val="0"/>
        <w:snapToGrid w:val="0"/>
        <w:spacing w:line="360" w:lineRule="auto"/>
        <w:ind w:left="0" w:leftChars="0" w:firstLine="480" w:firstLineChars="200"/>
        <w:jc w:val="left"/>
        <w:textAlignment w:val="baseline"/>
        <w:rPr>
          <w:rFonts w:hint="eastAsia" w:ascii="宋体" w:hAnsi="宋体" w:eastAsia="宋体" w:cs="宋体"/>
          <w:bCs/>
          <w:sz w:val="24"/>
          <w:szCs w:val="24"/>
          <w:highlight w:val="none"/>
        </w:rPr>
      </w:pPr>
      <w:r>
        <w:rPr>
          <w:rFonts w:hint="eastAsia" w:ascii="宋体" w:hAnsi="宋体" w:eastAsia="宋体" w:cs="宋体"/>
          <w:bCs/>
          <w:sz w:val="24"/>
          <w:szCs w:val="24"/>
          <w:highlight w:val="none"/>
        </w:rPr>
        <w:t>1</w:t>
      </w:r>
      <w:r>
        <w:rPr>
          <w:rFonts w:hint="eastAsia" w:ascii="宋体" w:hAnsi="宋体" w:eastAsia="宋体" w:cs="宋体"/>
          <w:bCs/>
          <w:sz w:val="24"/>
          <w:szCs w:val="24"/>
          <w:highlight w:val="none"/>
          <w:lang w:val="en-US" w:eastAsia="zh-CN"/>
        </w:rPr>
        <w:t>.</w:t>
      </w:r>
      <w:r>
        <w:rPr>
          <w:rFonts w:hint="eastAsia" w:ascii="宋体" w:hAnsi="宋体" w:eastAsia="宋体" w:cs="宋体"/>
          <w:bCs/>
          <w:sz w:val="24"/>
          <w:szCs w:val="24"/>
          <w:highlight w:val="none"/>
        </w:rPr>
        <w:t>对本合同规定的委托服务范围内的项目享有管理权及服务义务。</w:t>
      </w:r>
    </w:p>
    <w:p w14:paraId="288C47A4">
      <w:pPr>
        <w:keepNext w:val="0"/>
        <w:keepLines w:val="0"/>
        <w:pageBreakBefore w:val="0"/>
        <w:widowControl w:val="0"/>
        <w:kinsoku/>
        <w:overflowPunct/>
        <w:topLinePunct w:val="0"/>
        <w:autoSpaceDE/>
        <w:autoSpaceDN/>
        <w:bidi w:val="0"/>
        <w:adjustRightInd w:val="0"/>
        <w:snapToGrid w:val="0"/>
        <w:spacing w:line="360" w:lineRule="auto"/>
        <w:ind w:left="0" w:leftChars="0" w:firstLine="480" w:firstLineChars="200"/>
        <w:jc w:val="left"/>
        <w:textAlignment w:val="baseline"/>
        <w:rPr>
          <w:rFonts w:hint="eastAsia" w:ascii="宋体" w:hAnsi="宋体" w:eastAsia="宋体" w:cs="宋体"/>
          <w:bCs/>
          <w:sz w:val="24"/>
          <w:szCs w:val="24"/>
          <w:highlight w:val="none"/>
        </w:rPr>
      </w:pPr>
      <w:r>
        <w:rPr>
          <w:rFonts w:hint="eastAsia" w:ascii="宋体" w:hAnsi="宋体" w:eastAsia="宋体" w:cs="宋体"/>
          <w:bCs/>
          <w:sz w:val="24"/>
          <w:szCs w:val="24"/>
          <w:highlight w:val="none"/>
        </w:rPr>
        <w:t>2</w:t>
      </w:r>
      <w:r>
        <w:rPr>
          <w:rFonts w:hint="eastAsia" w:ascii="宋体" w:hAnsi="宋体" w:eastAsia="宋体" w:cs="宋体"/>
          <w:bCs/>
          <w:sz w:val="24"/>
          <w:szCs w:val="24"/>
          <w:highlight w:val="none"/>
          <w:lang w:val="en-US" w:eastAsia="zh-CN"/>
        </w:rPr>
        <w:t>.</w:t>
      </w:r>
      <w:r>
        <w:rPr>
          <w:rFonts w:hint="eastAsia" w:ascii="宋体" w:hAnsi="宋体" w:eastAsia="宋体" w:cs="宋体"/>
          <w:bCs/>
          <w:sz w:val="24"/>
          <w:szCs w:val="24"/>
          <w:highlight w:val="none"/>
        </w:rPr>
        <w:t>根据本合同的规定向甲方收取相关服务费用，并有权在本项目管理范围内管理及合理使用。</w:t>
      </w:r>
    </w:p>
    <w:p w14:paraId="1A69F810">
      <w:pPr>
        <w:keepNext w:val="0"/>
        <w:keepLines w:val="0"/>
        <w:pageBreakBefore w:val="0"/>
        <w:widowControl w:val="0"/>
        <w:kinsoku/>
        <w:overflowPunct/>
        <w:topLinePunct w:val="0"/>
        <w:autoSpaceDE/>
        <w:autoSpaceDN/>
        <w:bidi w:val="0"/>
        <w:adjustRightInd w:val="0"/>
        <w:snapToGrid w:val="0"/>
        <w:spacing w:line="360" w:lineRule="auto"/>
        <w:ind w:left="0" w:leftChars="0"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及时向甲方通告本项目服务范围内有关服务的重大事项，及时配合处理投诉。</w:t>
      </w:r>
    </w:p>
    <w:p w14:paraId="35F35064">
      <w:pPr>
        <w:keepNext w:val="0"/>
        <w:keepLines w:val="0"/>
        <w:pageBreakBefore w:val="0"/>
        <w:widowControl w:val="0"/>
        <w:kinsoku/>
        <w:overflowPunct/>
        <w:topLinePunct w:val="0"/>
        <w:autoSpaceDE/>
        <w:autoSpaceDN/>
        <w:bidi w:val="0"/>
        <w:adjustRightInd w:val="0"/>
        <w:snapToGrid w:val="0"/>
        <w:spacing w:line="360" w:lineRule="auto"/>
        <w:ind w:left="0" w:leftChars="0" w:firstLine="480" w:firstLineChars="200"/>
        <w:jc w:val="left"/>
        <w:textAlignment w:val="baseline"/>
        <w:rPr>
          <w:rFonts w:hint="eastAsia" w:ascii="宋体" w:hAnsi="宋体" w:eastAsia="宋体" w:cs="宋体"/>
          <w:bCs/>
          <w:sz w:val="24"/>
          <w:szCs w:val="24"/>
          <w:highlight w:val="none"/>
        </w:rPr>
      </w:pPr>
      <w:r>
        <w:rPr>
          <w:rFonts w:hint="eastAsia" w:ascii="宋体" w:hAnsi="宋体" w:eastAsia="宋体" w:cs="宋体"/>
          <w:sz w:val="24"/>
          <w:szCs w:val="24"/>
          <w:highlight w:val="none"/>
        </w:rPr>
        <w:t>4</w:t>
      </w:r>
      <w:r>
        <w:rPr>
          <w:rFonts w:hint="eastAsia" w:ascii="宋体" w:hAnsi="宋体" w:eastAsia="宋体" w:cs="宋体"/>
          <w:sz w:val="24"/>
          <w:szCs w:val="24"/>
          <w:highlight w:val="none"/>
          <w:lang w:val="en-US" w:eastAsia="zh-CN"/>
        </w:rPr>
        <w:t>.</w:t>
      </w:r>
      <w:r>
        <w:rPr>
          <w:rFonts w:hint="eastAsia" w:ascii="宋体" w:hAnsi="宋体" w:eastAsia="宋体" w:cs="宋体"/>
          <w:bCs/>
          <w:sz w:val="24"/>
          <w:szCs w:val="24"/>
          <w:highlight w:val="none"/>
        </w:rPr>
        <w:t>接受项目行业管理部门及政府有关部门的指导，接受甲方的监督。</w:t>
      </w:r>
    </w:p>
    <w:p w14:paraId="699C4B9F">
      <w:pPr>
        <w:keepNext w:val="0"/>
        <w:keepLines w:val="0"/>
        <w:pageBreakBefore w:val="0"/>
        <w:widowControl w:val="0"/>
        <w:kinsoku/>
        <w:overflowPunct/>
        <w:topLinePunct w:val="0"/>
        <w:autoSpaceDE/>
        <w:autoSpaceDN/>
        <w:bidi w:val="0"/>
        <w:adjustRightInd w:val="0"/>
        <w:snapToGrid w:val="0"/>
        <w:spacing w:line="360" w:lineRule="auto"/>
        <w:ind w:left="0" w:leftChars="0" w:firstLine="480" w:firstLineChars="200"/>
        <w:jc w:val="left"/>
        <w:textAlignment w:val="baseline"/>
        <w:rPr>
          <w:rFonts w:hint="eastAsia" w:ascii="宋体" w:hAnsi="宋体" w:eastAsia="宋体" w:cs="宋体"/>
          <w:bCs/>
          <w:sz w:val="24"/>
          <w:szCs w:val="24"/>
          <w:highlight w:val="none"/>
        </w:rPr>
      </w:pPr>
      <w:r>
        <w:rPr>
          <w:rFonts w:hint="eastAsia" w:ascii="宋体" w:hAnsi="宋体" w:eastAsia="宋体" w:cs="宋体"/>
          <w:bCs/>
          <w:sz w:val="24"/>
          <w:szCs w:val="24"/>
          <w:highlight w:val="none"/>
        </w:rPr>
        <w:t>5</w:t>
      </w:r>
      <w:r>
        <w:rPr>
          <w:rFonts w:hint="eastAsia" w:ascii="宋体" w:hAnsi="宋体" w:eastAsia="宋体" w:cs="宋体"/>
          <w:bCs/>
          <w:sz w:val="24"/>
          <w:szCs w:val="24"/>
          <w:highlight w:val="none"/>
          <w:lang w:val="en-US" w:eastAsia="zh-CN"/>
        </w:rPr>
        <w:t>.</w:t>
      </w:r>
      <w:r>
        <w:rPr>
          <w:rFonts w:hint="eastAsia" w:ascii="宋体" w:hAnsi="宋体" w:eastAsia="宋体" w:cs="宋体"/>
          <w:bCs/>
          <w:sz w:val="24"/>
          <w:szCs w:val="24"/>
          <w:highlight w:val="none"/>
        </w:rPr>
        <w:t>国家法律、法规所规定由乙方承担的其它责任。</w:t>
      </w:r>
    </w:p>
    <w:p w14:paraId="2F7E7721">
      <w:pPr>
        <w:keepNext w:val="0"/>
        <w:keepLines w:val="0"/>
        <w:pageBreakBefore w:val="0"/>
        <w:widowControl w:val="0"/>
        <w:numPr>
          <w:ilvl w:val="0"/>
          <w:numId w:val="0"/>
        </w:numPr>
        <w:kinsoku/>
        <w:overflowPunct/>
        <w:topLinePunct w:val="0"/>
        <w:autoSpaceDE/>
        <w:autoSpaceDN/>
        <w:bidi w:val="0"/>
        <w:adjustRightInd w:val="0"/>
        <w:snapToGrid w:val="0"/>
        <w:spacing w:line="360" w:lineRule="auto"/>
        <w:ind w:left="0" w:leftChars="0" w:firstLine="482" w:firstLineChars="200"/>
        <w:rPr>
          <w:rFonts w:hint="eastAsia" w:ascii="宋体" w:hAnsi="宋体" w:eastAsia="宋体" w:cs="宋体"/>
          <w:b/>
          <w:sz w:val="24"/>
          <w:szCs w:val="24"/>
          <w:highlight w:val="none"/>
        </w:rPr>
      </w:pPr>
      <w:r>
        <w:rPr>
          <w:rFonts w:hint="eastAsia" w:ascii="宋体" w:hAnsi="宋体" w:eastAsia="宋体" w:cs="宋体"/>
          <w:b/>
          <w:kern w:val="2"/>
          <w:sz w:val="24"/>
          <w:szCs w:val="24"/>
          <w:lang w:val="en-US" w:eastAsia="zh-CN" w:bidi="ar-SA"/>
        </w:rPr>
        <w:t xml:space="preserve">第九条 </w:t>
      </w:r>
      <w:r>
        <w:rPr>
          <w:rFonts w:hint="eastAsia" w:ascii="宋体" w:hAnsi="宋体" w:eastAsia="宋体" w:cs="宋体"/>
          <w:b/>
          <w:sz w:val="24"/>
          <w:szCs w:val="24"/>
          <w:highlight w:val="none"/>
        </w:rPr>
        <w:t>违约责任</w:t>
      </w:r>
    </w:p>
    <w:p w14:paraId="57565D95">
      <w:pPr>
        <w:keepNext w:val="0"/>
        <w:keepLines w:val="0"/>
        <w:pageBreakBefore w:val="0"/>
        <w:widowControl w:val="0"/>
        <w:kinsoku/>
        <w:overflowPunct/>
        <w:topLinePunct w:val="0"/>
        <w:autoSpaceDE/>
        <w:autoSpaceDN/>
        <w:bidi w:val="0"/>
        <w:adjustRightInd w:val="0"/>
        <w:snapToGrid w:val="0"/>
        <w:spacing w:line="360" w:lineRule="auto"/>
        <w:ind w:left="0" w:leftChars="0" w:firstLine="480" w:firstLineChars="200"/>
        <w:jc w:val="left"/>
        <w:textAlignment w:val="baseline"/>
        <w:rPr>
          <w:rFonts w:hint="eastAsia" w:ascii="宋体" w:hAnsi="宋体" w:eastAsia="宋体" w:cs="宋体"/>
          <w:bCs/>
          <w:sz w:val="24"/>
          <w:szCs w:val="24"/>
          <w:highlight w:val="none"/>
        </w:rPr>
      </w:pPr>
      <w:r>
        <w:rPr>
          <w:rFonts w:hint="eastAsia" w:ascii="宋体" w:hAnsi="宋体" w:eastAsia="宋体" w:cs="宋体"/>
          <w:bCs/>
          <w:sz w:val="24"/>
          <w:szCs w:val="24"/>
          <w:highlight w:val="none"/>
        </w:rPr>
        <w:t>1</w:t>
      </w:r>
      <w:r>
        <w:rPr>
          <w:rFonts w:hint="eastAsia" w:ascii="宋体" w:hAnsi="宋体" w:eastAsia="宋体" w:cs="宋体"/>
          <w:bCs/>
          <w:sz w:val="24"/>
          <w:szCs w:val="24"/>
          <w:highlight w:val="none"/>
          <w:lang w:val="en-US" w:eastAsia="zh-CN"/>
        </w:rPr>
        <w:t>.</w:t>
      </w:r>
      <w:r>
        <w:rPr>
          <w:rFonts w:hint="eastAsia" w:ascii="宋体" w:hAnsi="宋体" w:eastAsia="宋体" w:cs="宋体"/>
          <w:bCs/>
          <w:sz w:val="24"/>
          <w:szCs w:val="24"/>
          <w:highlight w:val="none"/>
        </w:rPr>
        <w:t>甲乙双方必须遵守本合同并执行合同中的各项规定，保证本合同的正常履行。</w:t>
      </w:r>
    </w:p>
    <w:p w14:paraId="4BCDB84F">
      <w:pPr>
        <w:keepNext w:val="0"/>
        <w:keepLines w:val="0"/>
        <w:pageBreakBefore w:val="0"/>
        <w:widowControl w:val="0"/>
        <w:kinsoku/>
        <w:overflowPunct/>
        <w:topLinePunct w:val="0"/>
        <w:autoSpaceDE/>
        <w:autoSpaceDN/>
        <w:bidi w:val="0"/>
        <w:adjustRightInd w:val="0"/>
        <w:snapToGrid w:val="0"/>
        <w:spacing w:line="360" w:lineRule="auto"/>
        <w:ind w:left="0" w:leftChars="0" w:firstLine="480" w:firstLineChars="200"/>
        <w:jc w:val="left"/>
        <w:textAlignment w:val="baseline"/>
        <w:rPr>
          <w:rFonts w:hint="eastAsia" w:ascii="宋体" w:hAnsi="宋体" w:eastAsia="宋体" w:cs="宋体"/>
          <w:bCs/>
          <w:sz w:val="24"/>
          <w:szCs w:val="24"/>
          <w:highlight w:val="none"/>
        </w:rPr>
      </w:pPr>
      <w:r>
        <w:rPr>
          <w:rFonts w:hint="eastAsia" w:ascii="宋体" w:hAnsi="宋体" w:eastAsia="宋体" w:cs="宋体"/>
          <w:bCs/>
          <w:sz w:val="24"/>
          <w:szCs w:val="24"/>
          <w:highlight w:val="none"/>
        </w:rPr>
        <w:t>2</w:t>
      </w:r>
      <w:r>
        <w:rPr>
          <w:rFonts w:hint="eastAsia" w:ascii="宋体" w:hAnsi="宋体" w:eastAsia="宋体" w:cs="宋体"/>
          <w:bCs/>
          <w:sz w:val="24"/>
          <w:szCs w:val="24"/>
          <w:highlight w:val="none"/>
          <w:lang w:val="en-US" w:eastAsia="zh-CN"/>
        </w:rPr>
        <w:t>.</w:t>
      </w:r>
      <w:r>
        <w:rPr>
          <w:rFonts w:hint="eastAsia" w:ascii="宋体" w:hAnsi="宋体" w:eastAsia="宋体" w:cs="宋体"/>
          <w:bCs/>
          <w:sz w:val="24"/>
          <w:szCs w:val="24"/>
          <w:highlight w:val="none"/>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B09DF2D">
      <w:pPr>
        <w:keepNext w:val="0"/>
        <w:keepLines w:val="0"/>
        <w:pageBreakBefore w:val="0"/>
        <w:widowControl w:val="0"/>
        <w:numPr>
          <w:ilvl w:val="0"/>
          <w:numId w:val="0"/>
        </w:numPr>
        <w:kinsoku/>
        <w:overflowPunct/>
        <w:topLinePunct w:val="0"/>
        <w:autoSpaceDE/>
        <w:autoSpaceDN/>
        <w:bidi w:val="0"/>
        <w:adjustRightInd w:val="0"/>
        <w:snapToGrid w:val="0"/>
        <w:spacing w:line="360" w:lineRule="auto"/>
        <w:ind w:left="0" w:leftChars="0" w:firstLine="482" w:firstLineChars="200"/>
        <w:rPr>
          <w:rFonts w:hint="eastAsia" w:ascii="宋体" w:hAnsi="宋体" w:eastAsia="宋体" w:cs="宋体"/>
          <w:b/>
          <w:sz w:val="24"/>
          <w:szCs w:val="24"/>
          <w:highlight w:val="none"/>
        </w:rPr>
      </w:pPr>
      <w:r>
        <w:rPr>
          <w:rFonts w:hint="eastAsia" w:ascii="宋体" w:hAnsi="宋体" w:eastAsia="宋体" w:cs="宋体"/>
          <w:b/>
          <w:kern w:val="2"/>
          <w:sz w:val="24"/>
          <w:szCs w:val="24"/>
          <w:lang w:val="en-US" w:eastAsia="zh-CN" w:bidi="ar-SA"/>
        </w:rPr>
        <w:t xml:space="preserve">第十条 </w:t>
      </w:r>
      <w:r>
        <w:rPr>
          <w:rFonts w:hint="eastAsia" w:ascii="宋体" w:hAnsi="宋体" w:eastAsia="宋体" w:cs="宋体"/>
          <w:b/>
          <w:sz w:val="24"/>
          <w:szCs w:val="24"/>
          <w:highlight w:val="none"/>
        </w:rPr>
        <w:t>不可抗力事件处理</w:t>
      </w:r>
    </w:p>
    <w:p w14:paraId="6C26FB3A">
      <w:pPr>
        <w:keepNext w:val="0"/>
        <w:keepLines w:val="0"/>
        <w:pageBreakBefore w:val="0"/>
        <w:widowControl w:val="0"/>
        <w:tabs>
          <w:tab w:val="left" w:pos="0"/>
        </w:tabs>
        <w:kinsoku/>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在合同有效期内，任何一方因不可抗力事件导致不能履行合同，则合同履行期可延长，其延长期与不可抗力影响期相同。</w:t>
      </w:r>
    </w:p>
    <w:p w14:paraId="594E7540">
      <w:pPr>
        <w:keepNext w:val="0"/>
        <w:keepLines w:val="0"/>
        <w:pageBreakBefore w:val="0"/>
        <w:widowControl w:val="0"/>
        <w:tabs>
          <w:tab w:val="left" w:pos="0"/>
        </w:tabs>
        <w:kinsoku/>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不可抗力事件发生后，应立即通知对方，并寄送有关权威机构出具的证明。</w:t>
      </w:r>
    </w:p>
    <w:p w14:paraId="25AC2D70">
      <w:pPr>
        <w:keepNext w:val="0"/>
        <w:keepLines w:val="0"/>
        <w:pageBreakBefore w:val="0"/>
        <w:widowControl w:val="0"/>
        <w:tabs>
          <w:tab w:val="left" w:pos="0"/>
        </w:tabs>
        <w:kinsoku/>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不可抗力事件</w:t>
      </w:r>
      <w:r>
        <w:rPr>
          <w:rFonts w:hint="eastAsia" w:ascii="宋体" w:hAnsi="宋体" w:eastAsia="宋体" w:cs="宋体"/>
          <w:sz w:val="24"/>
          <w:szCs w:val="24"/>
          <w:highlight w:val="none"/>
          <w:u w:val="none"/>
        </w:rPr>
        <w:t>延续在天</w:t>
      </w:r>
      <w:r>
        <w:rPr>
          <w:rFonts w:hint="eastAsia" w:ascii="宋体" w:hAnsi="宋体" w:eastAsia="宋体" w:cs="宋体"/>
          <w:sz w:val="24"/>
          <w:szCs w:val="24"/>
          <w:highlight w:val="none"/>
        </w:rPr>
        <w:t>以上，双方应通过友好协商，确定是否继续履行合同。</w:t>
      </w: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14:paraId="5044451C">
      <w:pPr>
        <w:keepNext w:val="0"/>
        <w:keepLines w:val="0"/>
        <w:pageBreakBefore w:val="0"/>
        <w:widowControl w:val="0"/>
        <w:numPr>
          <w:ilvl w:val="0"/>
          <w:numId w:val="0"/>
        </w:numPr>
        <w:kinsoku/>
        <w:overflowPunct/>
        <w:topLinePunct w:val="0"/>
        <w:autoSpaceDE/>
        <w:autoSpaceDN/>
        <w:bidi w:val="0"/>
        <w:adjustRightInd w:val="0"/>
        <w:snapToGrid w:val="0"/>
        <w:spacing w:line="360" w:lineRule="auto"/>
        <w:ind w:left="0" w:leftChars="0" w:firstLine="482" w:firstLineChars="200"/>
        <w:rPr>
          <w:rFonts w:hint="eastAsia" w:ascii="宋体" w:hAnsi="宋体" w:eastAsia="宋体" w:cs="宋体"/>
          <w:b/>
          <w:sz w:val="24"/>
          <w:szCs w:val="24"/>
          <w:highlight w:val="none"/>
        </w:rPr>
      </w:pPr>
      <w:bookmarkStart w:id="20" w:name="_Toc211911353"/>
      <w:bookmarkStart w:id="21" w:name="_Toc225670756"/>
      <w:bookmarkStart w:id="22" w:name="_Toc225654649"/>
      <w:bookmarkStart w:id="23" w:name="_Toc239568423"/>
      <w:bookmarkStart w:id="24" w:name="_Toc211854454"/>
      <w:bookmarkStart w:id="25" w:name="_Toc251768867"/>
      <w:bookmarkStart w:id="26" w:name="_Toc225244857"/>
      <w:bookmarkStart w:id="27" w:name="_Toc239233919"/>
      <w:bookmarkStart w:id="28" w:name="_Toc241833908"/>
      <w:bookmarkStart w:id="29" w:name="_Toc238984980"/>
      <w:bookmarkStart w:id="30" w:name="_Toc212019599"/>
      <w:bookmarkStart w:id="31" w:name="_Toc232492933"/>
      <w:bookmarkStart w:id="32" w:name="_Toc247334846"/>
      <w:bookmarkStart w:id="33" w:name="_Toc185395254"/>
      <w:bookmarkStart w:id="34" w:name="_Toc286993792"/>
      <w:bookmarkStart w:id="35" w:name="_Toc237145411"/>
      <w:r>
        <w:rPr>
          <w:rFonts w:hint="eastAsia" w:ascii="宋体" w:hAnsi="宋体" w:eastAsia="宋体" w:cs="宋体"/>
          <w:b/>
          <w:kern w:val="2"/>
          <w:sz w:val="24"/>
          <w:szCs w:val="24"/>
          <w:lang w:val="en-US" w:eastAsia="zh-CN" w:bidi="ar-SA"/>
        </w:rPr>
        <w:t xml:space="preserve">第十一条 </w:t>
      </w:r>
      <w:r>
        <w:rPr>
          <w:rFonts w:hint="eastAsia" w:ascii="宋体" w:hAnsi="宋体" w:eastAsia="宋体" w:cs="宋体"/>
          <w:b/>
          <w:sz w:val="24"/>
          <w:szCs w:val="24"/>
          <w:highlight w:val="none"/>
        </w:rPr>
        <w:t>解决合同纠纷的方式</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0FC8B570">
      <w:pPr>
        <w:keepNext w:val="0"/>
        <w:keepLines w:val="0"/>
        <w:pageBreakBefore w:val="0"/>
        <w:widowControl w:val="0"/>
        <w:tabs>
          <w:tab w:val="left" w:pos="0"/>
        </w:tabs>
        <w:kinsoku/>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在执行本合同中发生的或与本合同有关的争端，双方应通过友好协商解决，经协商</w:t>
      </w:r>
      <w:r>
        <w:rPr>
          <w:rFonts w:hint="eastAsia" w:ascii="宋体" w:hAnsi="宋体" w:eastAsia="宋体" w:cs="宋体"/>
          <w:sz w:val="24"/>
          <w:szCs w:val="24"/>
          <w:highlight w:val="none"/>
          <w:u w:val="none"/>
        </w:rPr>
        <w:t>在天</w:t>
      </w:r>
      <w:r>
        <w:rPr>
          <w:rFonts w:hint="eastAsia" w:ascii="宋体" w:hAnsi="宋体" w:eastAsia="宋体" w:cs="宋体"/>
          <w:sz w:val="24"/>
          <w:szCs w:val="24"/>
          <w:highlight w:val="none"/>
        </w:rPr>
        <w:t>内不能达成协议时，应提交</w:t>
      </w:r>
      <w:r>
        <w:rPr>
          <w:rFonts w:hint="eastAsia" w:ascii="宋体" w:hAnsi="宋体" w:eastAsia="宋体" w:cs="宋体"/>
          <w:sz w:val="24"/>
          <w:szCs w:val="24"/>
          <w:highlight w:val="none"/>
          <w:u w:val="none"/>
        </w:rPr>
        <w:t>仲裁委员会</w:t>
      </w:r>
      <w:r>
        <w:rPr>
          <w:rFonts w:hint="eastAsia" w:ascii="宋体" w:hAnsi="宋体" w:eastAsia="宋体" w:cs="宋体"/>
          <w:sz w:val="24"/>
          <w:szCs w:val="24"/>
          <w:highlight w:val="none"/>
          <w:u w:val="none"/>
          <w:lang w:eastAsia="zh-CN"/>
        </w:rPr>
        <w:t>予以进行</w:t>
      </w:r>
      <w:r>
        <w:rPr>
          <w:rFonts w:hint="eastAsia" w:ascii="宋体" w:hAnsi="宋体" w:eastAsia="宋体" w:cs="宋体"/>
          <w:sz w:val="24"/>
          <w:szCs w:val="24"/>
          <w:highlight w:val="none"/>
        </w:rPr>
        <w:t>仲裁。</w:t>
      </w:r>
    </w:p>
    <w:p w14:paraId="45160817">
      <w:pPr>
        <w:keepNext w:val="0"/>
        <w:keepLines w:val="0"/>
        <w:pageBreakBefore w:val="0"/>
        <w:widowControl w:val="0"/>
        <w:tabs>
          <w:tab w:val="left" w:pos="0"/>
        </w:tabs>
        <w:kinsoku/>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仲裁裁决应为最终决定，并对双方具有约束力。</w:t>
      </w:r>
    </w:p>
    <w:p w14:paraId="2EC1328D">
      <w:pPr>
        <w:keepNext w:val="0"/>
        <w:keepLines w:val="0"/>
        <w:pageBreakBefore w:val="0"/>
        <w:widowControl w:val="0"/>
        <w:tabs>
          <w:tab w:val="left" w:pos="0"/>
        </w:tabs>
        <w:kinsoku/>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 xml:space="preserve">除另有裁决外，仲裁费应由败诉方负担。 </w:t>
      </w:r>
    </w:p>
    <w:p w14:paraId="41E68F37">
      <w:pPr>
        <w:keepNext w:val="0"/>
        <w:keepLines w:val="0"/>
        <w:pageBreakBefore w:val="0"/>
        <w:widowControl w:val="0"/>
        <w:tabs>
          <w:tab w:val="left" w:pos="0"/>
        </w:tabs>
        <w:kinsoku/>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 xml:space="preserve">在仲裁期间，除正在进行仲裁部分外，合同其他部分继续执行。  </w:t>
      </w:r>
    </w:p>
    <w:p w14:paraId="2E021162">
      <w:pPr>
        <w:keepNext w:val="0"/>
        <w:keepLines w:val="0"/>
        <w:pageBreakBefore w:val="0"/>
        <w:widowControl w:val="0"/>
        <w:numPr>
          <w:ilvl w:val="0"/>
          <w:numId w:val="0"/>
        </w:numPr>
        <w:kinsoku/>
        <w:overflowPunct/>
        <w:topLinePunct w:val="0"/>
        <w:autoSpaceDE/>
        <w:autoSpaceDN/>
        <w:bidi w:val="0"/>
        <w:adjustRightInd w:val="0"/>
        <w:snapToGrid w:val="0"/>
        <w:spacing w:line="360" w:lineRule="auto"/>
        <w:ind w:left="0" w:leftChars="0" w:firstLine="482" w:firstLineChars="200"/>
        <w:rPr>
          <w:rFonts w:hint="eastAsia" w:ascii="宋体" w:hAnsi="宋体" w:eastAsia="宋体" w:cs="宋体"/>
          <w:b/>
          <w:sz w:val="24"/>
          <w:szCs w:val="24"/>
          <w:highlight w:val="none"/>
        </w:rPr>
      </w:pPr>
      <w:bookmarkStart w:id="36" w:name="_Toc211911354"/>
      <w:bookmarkStart w:id="37" w:name="_Toc286993793"/>
      <w:bookmarkStart w:id="38" w:name="_Toc225244858"/>
      <w:bookmarkStart w:id="39" w:name="_Toc238984981"/>
      <w:bookmarkStart w:id="40" w:name="_Toc282696231"/>
      <w:bookmarkStart w:id="41" w:name="_Toc283019219"/>
      <w:bookmarkStart w:id="42" w:name="_Toc237145412"/>
      <w:bookmarkStart w:id="43" w:name="_Toc225670757"/>
      <w:bookmarkStart w:id="44" w:name="_Toc251768868"/>
      <w:bookmarkStart w:id="45" w:name="_Toc241833909"/>
      <w:bookmarkStart w:id="46" w:name="_Toc185395255"/>
      <w:bookmarkStart w:id="47" w:name="_Toc239233920"/>
      <w:bookmarkStart w:id="48" w:name="_Toc247334847"/>
      <w:bookmarkStart w:id="49" w:name="_Toc211854455"/>
      <w:bookmarkStart w:id="50" w:name="_Toc212019600"/>
      <w:bookmarkStart w:id="51" w:name="_Toc239568424"/>
      <w:bookmarkStart w:id="52" w:name="_Toc225654650"/>
      <w:bookmarkStart w:id="53" w:name="_Toc232492934"/>
      <w:r>
        <w:rPr>
          <w:rFonts w:hint="eastAsia" w:ascii="宋体" w:hAnsi="宋体" w:eastAsia="宋体" w:cs="宋体"/>
          <w:b/>
          <w:kern w:val="2"/>
          <w:sz w:val="24"/>
          <w:szCs w:val="24"/>
          <w:lang w:val="en-US" w:eastAsia="zh-CN" w:bidi="ar-SA"/>
        </w:rPr>
        <w:t xml:space="preserve">第十二条 </w:t>
      </w:r>
      <w:r>
        <w:rPr>
          <w:rFonts w:hint="eastAsia" w:ascii="宋体" w:hAnsi="宋体" w:eastAsia="宋体" w:cs="宋体"/>
          <w:b/>
          <w:sz w:val="24"/>
          <w:szCs w:val="24"/>
          <w:highlight w:val="none"/>
        </w:rPr>
        <w:t>合同</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Pr>
          <w:rFonts w:hint="eastAsia" w:ascii="宋体" w:hAnsi="宋体" w:eastAsia="宋体" w:cs="宋体"/>
          <w:b/>
          <w:sz w:val="24"/>
          <w:szCs w:val="24"/>
          <w:highlight w:val="none"/>
        </w:rPr>
        <w:t>生效及其他</w:t>
      </w:r>
    </w:p>
    <w:p w14:paraId="5FFBF325">
      <w:pPr>
        <w:pStyle w:val="11"/>
        <w:keepNext w:val="0"/>
        <w:keepLines w:val="0"/>
        <w:pageBreakBefore w:val="0"/>
        <w:widowControl w:val="0"/>
        <w:kinsoku/>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合同经双方法定代表人或授权委托代理人签字并加盖单位公章后生效。</w:t>
      </w:r>
    </w:p>
    <w:p w14:paraId="60C0AF03">
      <w:pPr>
        <w:pStyle w:val="11"/>
        <w:keepNext w:val="0"/>
        <w:keepLines w:val="0"/>
        <w:pageBreakBefore w:val="0"/>
        <w:widowControl w:val="0"/>
        <w:kinsoku/>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合同执行中涉及资金和采购内容修改或补充的，须经</w:t>
      </w:r>
      <w:r>
        <w:rPr>
          <w:rFonts w:hint="eastAsia" w:ascii="宋体" w:hAnsi="宋体" w:eastAsia="宋体" w:cs="宋体"/>
          <w:sz w:val="24"/>
          <w:szCs w:val="24"/>
          <w:highlight w:val="none"/>
          <w:lang w:eastAsia="zh-CN"/>
        </w:rPr>
        <w:t>甲方监督</w:t>
      </w:r>
      <w:r>
        <w:rPr>
          <w:rFonts w:hint="eastAsia" w:ascii="宋体" w:hAnsi="宋体" w:eastAsia="宋体" w:cs="宋体"/>
          <w:sz w:val="24"/>
          <w:szCs w:val="24"/>
          <w:highlight w:val="none"/>
        </w:rPr>
        <w:t>部门审批，并签书面补充协议报</w:t>
      </w:r>
      <w:r>
        <w:rPr>
          <w:rFonts w:hint="eastAsia" w:ascii="宋体" w:hAnsi="宋体" w:eastAsia="宋体" w:cs="宋体"/>
          <w:sz w:val="24"/>
          <w:szCs w:val="24"/>
          <w:highlight w:val="none"/>
          <w:lang w:eastAsia="zh-CN"/>
        </w:rPr>
        <w:t>甲方相关行政部门</w:t>
      </w:r>
      <w:r>
        <w:rPr>
          <w:rFonts w:hint="eastAsia" w:ascii="宋体" w:hAnsi="宋体" w:eastAsia="宋体" w:cs="宋体"/>
          <w:sz w:val="24"/>
          <w:szCs w:val="24"/>
          <w:highlight w:val="none"/>
        </w:rPr>
        <w:t>备案，方可作为主合同不可分割的一部分。</w:t>
      </w:r>
    </w:p>
    <w:p w14:paraId="68BB76BF">
      <w:pPr>
        <w:pStyle w:val="11"/>
        <w:keepNext w:val="0"/>
        <w:keepLines w:val="0"/>
        <w:pageBreakBefore w:val="0"/>
        <w:widowControl w:val="0"/>
        <w:kinsoku/>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本合同一式</w:t>
      </w:r>
      <w:r>
        <w:rPr>
          <w:rFonts w:hint="eastAsia" w:ascii="宋体" w:hAnsi="宋体" w:eastAsia="宋体" w:cs="宋体"/>
          <w:color w:val="000000"/>
          <w:sz w:val="24"/>
          <w:szCs w:val="24"/>
          <w:highlight w:val="none"/>
          <w:lang w:eastAsia="zh-CN"/>
        </w:rPr>
        <w:t>陆</w:t>
      </w:r>
      <w:r>
        <w:rPr>
          <w:rFonts w:hint="eastAsia" w:ascii="宋体" w:hAnsi="宋体" w:eastAsia="宋体" w:cs="宋体"/>
          <w:sz w:val="24"/>
          <w:szCs w:val="24"/>
          <w:highlight w:val="none"/>
        </w:rPr>
        <w:t>份，自双方签章之日起起效。甲方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份，乙方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份，采购代理机构</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份，具有同等法律效力。</w:t>
      </w:r>
    </w:p>
    <w:p w14:paraId="36273CBB">
      <w:pPr>
        <w:keepNext w:val="0"/>
        <w:keepLines w:val="0"/>
        <w:pageBreakBefore w:val="0"/>
        <w:widowControl w:val="0"/>
        <w:numPr>
          <w:ilvl w:val="0"/>
          <w:numId w:val="0"/>
        </w:numPr>
        <w:kinsoku/>
        <w:overflowPunct/>
        <w:topLinePunct w:val="0"/>
        <w:autoSpaceDE/>
        <w:autoSpaceDN/>
        <w:bidi w:val="0"/>
        <w:adjustRightInd w:val="0"/>
        <w:snapToGrid w:val="0"/>
        <w:spacing w:line="360" w:lineRule="auto"/>
        <w:ind w:left="0" w:leftChars="0" w:firstLine="482" w:firstLineChars="200"/>
        <w:rPr>
          <w:rFonts w:hint="eastAsia" w:ascii="宋体" w:hAnsi="宋体" w:eastAsia="宋体" w:cs="宋体"/>
          <w:b/>
          <w:sz w:val="24"/>
          <w:szCs w:val="24"/>
          <w:highlight w:val="none"/>
        </w:rPr>
      </w:pPr>
      <w:r>
        <w:rPr>
          <w:rFonts w:hint="eastAsia" w:ascii="宋体" w:hAnsi="宋体" w:eastAsia="宋体" w:cs="宋体"/>
          <w:b/>
          <w:kern w:val="2"/>
          <w:sz w:val="24"/>
          <w:szCs w:val="24"/>
          <w:lang w:val="en-US" w:eastAsia="zh-CN" w:bidi="ar-SA"/>
        </w:rPr>
        <w:t xml:space="preserve">第十三条 </w:t>
      </w:r>
      <w:r>
        <w:rPr>
          <w:rFonts w:hint="eastAsia" w:ascii="宋体" w:hAnsi="宋体" w:eastAsia="宋体" w:cs="宋体"/>
          <w:b/>
          <w:sz w:val="24"/>
          <w:szCs w:val="24"/>
          <w:highlight w:val="none"/>
        </w:rPr>
        <w:t>附件</w:t>
      </w:r>
    </w:p>
    <w:p w14:paraId="672E1FA0">
      <w:pPr>
        <w:pStyle w:val="11"/>
        <w:keepNext w:val="0"/>
        <w:keepLines w:val="0"/>
        <w:pageBreakBefore w:val="0"/>
        <w:widowControl w:val="0"/>
        <w:kinsoku/>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竞争性磋商文件</w:t>
      </w:r>
    </w:p>
    <w:p w14:paraId="669D5297">
      <w:pPr>
        <w:pStyle w:val="11"/>
        <w:keepNext w:val="0"/>
        <w:keepLines w:val="0"/>
        <w:pageBreakBefore w:val="0"/>
        <w:widowControl w:val="0"/>
        <w:kinsoku/>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澄清</w:t>
      </w:r>
      <w:r>
        <w:rPr>
          <w:rFonts w:hint="eastAsia" w:ascii="宋体" w:hAnsi="宋体" w:eastAsia="宋体" w:cs="宋体"/>
          <w:sz w:val="24"/>
          <w:szCs w:val="24"/>
          <w:highlight w:val="none"/>
          <w:lang w:eastAsia="zh-CN"/>
        </w:rPr>
        <w:t>（或答疑）</w:t>
      </w:r>
      <w:r>
        <w:rPr>
          <w:rFonts w:hint="eastAsia" w:ascii="宋体" w:hAnsi="宋体" w:eastAsia="宋体" w:cs="宋体"/>
          <w:sz w:val="24"/>
          <w:szCs w:val="24"/>
          <w:highlight w:val="none"/>
        </w:rPr>
        <w:t>文件</w:t>
      </w:r>
    </w:p>
    <w:p w14:paraId="44B2C720">
      <w:pPr>
        <w:pStyle w:val="11"/>
        <w:keepNext w:val="0"/>
        <w:keepLines w:val="0"/>
        <w:pageBreakBefore w:val="0"/>
        <w:widowControl w:val="0"/>
        <w:kinsoku/>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响应文件</w:t>
      </w:r>
    </w:p>
    <w:p w14:paraId="675480F8">
      <w:pPr>
        <w:pStyle w:val="11"/>
        <w:keepNext w:val="0"/>
        <w:keepLines w:val="0"/>
        <w:pageBreakBefore w:val="0"/>
        <w:widowControl w:val="0"/>
        <w:kinsoku/>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w:t>
      </w: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成交通知书</w:t>
      </w:r>
    </w:p>
    <w:p w14:paraId="09BEBD2B">
      <w:pPr>
        <w:pStyle w:val="11"/>
        <w:keepNext w:val="0"/>
        <w:keepLines w:val="0"/>
        <w:pageBreakBefore w:val="0"/>
        <w:widowControl w:val="0"/>
        <w:kinsoku/>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其他</w:t>
      </w:r>
    </w:p>
    <w:p w14:paraId="7AD6CF1C">
      <w:pPr>
        <w:keepNext w:val="0"/>
        <w:keepLines w:val="0"/>
        <w:pageBreakBefore w:val="0"/>
        <w:widowControl w:val="0"/>
        <w:kinsoku/>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szCs w:val="24"/>
          <w:highlight w:val="none"/>
        </w:rPr>
      </w:pPr>
    </w:p>
    <w:p w14:paraId="7FAB31D8">
      <w:pPr>
        <w:keepNext w:val="0"/>
        <w:keepLines w:val="0"/>
        <w:pageBreakBefore w:val="0"/>
        <w:widowControl w:val="0"/>
        <w:kinsoku/>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甲方：</w:t>
      </w:r>
      <w:r>
        <w:rPr>
          <w:rFonts w:hint="eastAsia" w:ascii="宋体" w:hAnsi="宋体" w:eastAsia="宋体" w:cs="宋体"/>
          <w:sz w:val="24"/>
          <w:highlight w:val="none"/>
          <w:lang w:eastAsia="zh-CN"/>
        </w:rPr>
        <w:t>西安</w:t>
      </w:r>
      <w:r>
        <w:rPr>
          <w:rFonts w:hint="eastAsia" w:ascii="宋体" w:hAnsi="宋体" w:cs="宋体"/>
          <w:sz w:val="24"/>
          <w:highlight w:val="none"/>
          <w:lang w:eastAsia="zh-CN"/>
        </w:rPr>
        <w:t>科技</w:t>
      </w:r>
      <w:r>
        <w:rPr>
          <w:rFonts w:hint="eastAsia" w:ascii="宋体" w:hAnsi="宋体" w:eastAsia="宋体" w:cs="宋体"/>
          <w:sz w:val="24"/>
          <w:highlight w:val="none"/>
          <w:lang w:eastAsia="zh-CN"/>
        </w:rPr>
        <w:t>大学</w:t>
      </w:r>
      <w:r>
        <w:rPr>
          <w:rFonts w:ascii="宋体" w:hAnsi="宋体" w:eastAsia="宋体" w:cs="宋体"/>
          <w:sz w:val="24"/>
          <w:highlight w:val="none"/>
        </w:rPr>
        <w:t xml:space="preserve">（盖章）   </w:t>
      </w:r>
      <w:r>
        <w:rPr>
          <w:rFonts w:hint="eastAsia" w:ascii="宋体" w:hAnsi="宋体" w:eastAsia="宋体" w:cs="宋体"/>
          <w:sz w:val="24"/>
          <w:szCs w:val="24"/>
          <w:highlight w:val="none"/>
        </w:rPr>
        <w:tab/>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乙方：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（盖章） </w:t>
      </w:r>
    </w:p>
    <w:p w14:paraId="180741E7">
      <w:pPr>
        <w:keepNext w:val="0"/>
        <w:keepLines w:val="0"/>
        <w:pageBreakBefore w:val="0"/>
        <w:widowControl w:val="0"/>
        <w:kinsoku/>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法定代表人（授权代表）：          法定代表人（授权代表）：</w:t>
      </w:r>
    </w:p>
    <w:p w14:paraId="7297C050">
      <w:pPr>
        <w:keepNext w:val="0"/>
        <w:keepLines w:val="0"/>
        <w:pageBreakBefore w:val="0"/>
        <w:widowControl w:val="0"/>
        <w:kinsoku/>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地    址：</w:t>
      </w:r>
      <w:r>
        <w:rPr>
          <w:rFonts w:hint="eastAsia" w:ascii="宋体" w:hAnsi="宋体" w:eastAsia="宋体" w:cs="宋体"/>
          <w:sz w:val="24"/>
          <w:highlight w:val="none"/>
          <w:lang w:val="en-US" w:eastAsia="zh-CN"/>
        </w:rPr>
        <w:t xml:space="preserve"> </w:t>
      </w:r>
      <w:r>
        <w:rPr>
          <w:rFonts w:ascii="宋体" w:hAnsi="宋体" w:eastAsia="宋体" w:cs="宋体"/>
          <w:sz w:val="24"/>
          <w:highlight w:val="none"/>
        </w:rPr>
        <w:t xml:space="preserve"> </w:t>
      </w:r>
      <w:r>
        <w:rPr>
          <w:rFonts w:hint="eastAsia" w:ascii="宋体" w:hAnsi="宋体" w:eastAsia="宋体" w:cs="宋体"/>
          <w:sz w:val="24"/>
          <w:highlight w:val="none"/>
          <w:lang w:val="en-US" w:eastAsia="zh-CN"/>
        </w:rPr>
        <w:t xml:space="preserve">                      </w:t>
      </w:r>
      <w:r>
        <w:rPr>
          <w:rFonts w:ascii="宋体" w:hAnsi="宋体" w:eastAsia="宋体" w:cs="宋体"/>
          <w:sz w:val="24"/>
          <w:highlight w:val="none"/>
        </w:rPr>
        <w:t>地    址：</w:t>
      </w:r>
    </w:p>
    <w:p w14:paraId="400FFF2C">
      <w:pPr>
        <w:keepNext w:val="0"/>
        <w:keepLines w:val="0"/>
        <w:pageBreakBefore w:val="0"/>
        <w:widowControl w:val="0"/>
        <w:kinsoku/>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开户银行：                        开户银行：</w:t>
      </w:r>
    </w:p>
    <w:p w14:paraId="1E80538B">
      <w:pPr>
        <w:keepNext w:val="0"/>
        <w:keepLines w:val="0"/>
        <w:pageBreakBefore w:val="0"/>
        <w:widowControl w:val="0"/>
        <w:kinsoku/>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账号：                             账号：</w:t>
      </w:r>
    </w:p>
    <w:p w14:paraId="370325BB">
      <w:pPr>
        <w:keepNext w:val="0"/>
        <w:keepLines w:val="0"/>
        <w:pageBreakBefore w:val="0"/>
        <w:widowControl w:val="0"/>
        <w:kinsoku/>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电    话：                         电    话：</w:t>
      </w:r>
    </w:p>
    <w:p w14:paraId="699B8775">
      <w:pPr>
        <w:keepNext w:val="0"/>
        <w:keepLines w:val="0"/>
        <w:pageBreakBefore w:val="0"/>
        <w:widowControl w:val="0"/>
        <w:kinsoku/>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传    真：                         传    真：</w:t>
      </w:r>
    </w:p>
    <w:p w14:paraId="2CDFD236">
      <w:pPr>
        <w:pStyle w:val="6"/>
        <w:keepNext w:val="0"/>
        <w:keepLines w:val="0"/>
        <w:pageBreakBefore w:val="0"/>
        <w:widowControl w:val="0"/>
        <w:kinsoku/>
        <w:overflowPunct/>
        <w:topLinePunct w:val="0"/>
        <w:autoSpaceDE/>
        <w:autoSpaceDN/>
        <w:bidi w:val="0"/>
        <w:adjustRightInd w:val="0"/>
        <w:snapToGrid w:val="0"/>
        <w:spacing w:line="360" w:lineRule="auto"/>
        <w:ind w:left="0" w:leftChars="0" w:firstLine="480" w:firstLineChars="200"/>
        <w:jc w:val="both"/>
        <w:rPr>
          <w:rFonts w:hint="eastAsia" w:ascii="宋体" w:hAnsi="宋体" w:eastAsia="宋体" w:cs="宋体"/>
          <w:b/>
          <w:bCs/>
          <w:color w:val="auto"/>
          <w:sz w:val="24"/>
          <w:szCs w:val="24"/>
          <w:highlight w:val="none"/>
        </w:rPr>
      </w:pPr>
      <w:r>
        <w:rPr>
          <w:rFonts w:hint="eastAsia" w:ascii="宋体" w:hAnsi="宋体" w:eastAsia="宋体" w:cs="宋体"/>
          <w:sz w:val="24"/>
          <w:szCs w:val="24"/>
          <w:highlight w:val="none"/>
        </w:rPr>
        <w:t>签约日期：</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sz w:val="24"/>
          <w:szCs w:val="24"/>
          <w:highlight w:val="none"/>
        </w:rPr>
        <w:t xml:space="preserve">日 </w:t>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签约日期：</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sz w:val="24"/>
          <w:szCs w:val="24"/>
          <w:highlight w:val="none"/>
        </w:rPr>
        <w:t xml:space="preserve">日 </w:t>
      </w:r>
    </w:p>
    <w:p w14:paraId="3C420030">
      <w:pPr>
        <w:keepNext w:val="0"/>
        <w:keepLines w:val="0"/>
        <w:pageBreakBefore w:val="0"/>
        <w:widowControl w:val="0"/>
        <w:kinsoku/>
        <w:overflowPunct/>
        <w:topLinePunct w:val="0"/>
        <w:autoSpaceDE/>
        <w:autoSpaceDN/>
        <w:bidi w:val="0"/>
        <w:adjustRightInd w:val="0"/>
        <w:snapToGrid w:val="0"/>
        <w:spacing w:line="360" w:lineRule="auto"/>
        <w:ind w:left="0" w:leftChars="0" w:firstLine="482" w:firstLineChars="200"/>
        <w:rPr>
          <w:rFonts w:hint="eastAsia" w:ascii="宋体" w:hAnsi="宋体" w:eastAsia="宋体" w:cs="宋体"/>
          <w:bCs/>
          <w:szCs w:val="44"/>
          <w:highlight w:val="none"/>
        </w:rPr>
      </w:pPr>
      <w:r>
        <w:rPr>
          <w:rFonts w:hint="eastAsia" w:ascii="宋体" w:hAnsi="宋体" w:eastAsia="宋体" w:cs="宋体"/>
          <w:b/>
          <w:sz w:val="24"/>
          <w:szCs w:val="24"/>
          <w:highlight w:val="none"/>
          <w:lang w:val="en-US" w:eastAsia="zh-CN"/>
        </w:rPr>
        <w:t xml:space="preserve"> </w:t>
      </w:r>
    </w:p>
    <w:p w14:paraId="23AE63B3">
      <w:pPr>
        <w:keepNext w:val="0"/>
        <w:keepLines w:val="0"/>
        <w:pageBreakBefore w:val="0"/>
        <w:widowControl w:val="0"/>
        <w:kinsoku/>
        <w:overflowPunct/>
        <w:topLinePunct w:val="0"/>
        <w:autoSpaceDE/>
        <w:autoSpaceDN/>
        <w:bidi w:val="0"/>
        <w:adjustRightInd w:val="0"/>
        <w:snapToGrid w:val="0"/>
        <w:spacing w:line="360" w:lineRule="auto"/>
        <w:ind w:left="0" w:leftChars="0" w:firstLine="480" w:firstLineChars="200"/>
        <w:jc w:val="both"/>
        <w:rPr>
          <w:rFonts w:hint="eastAsia" w:ascii="宋体" w:hAnsi="宋体" w:cs="宋体"/>
          <w:b/>
          <w:sz w:val="48"/>
          <w:szCs w:val="48"/>
          <w:highlight w:val="none"/>
        </w:rPr>
      </w:pPr>
      <w:r>
        <w:rPr>
          <w:rFonts w:hint="eastAsia" w:ascii="宋体" w:hAnsi="宋体" w:eastAsia="宋体" w:cs="宋体"/>
          <w:sz w:val="24"/>
          <w:szCs w:val="24"/>
          <w:highlight w:val="none"/>
        </w:rPr>
        <w:t>签订地点：</w:t>
      </w:r>
      <w:r>
        <w:rPr>
          <w:rFonts w:hint="eastAsia" w:ascii="宋体" w:hAnsi="宋体" w:eastAsia="宋体" w:cs="宋体"/>
          <w:sz w:val="24"/>
          <w:szCs w:val="24"/>
          <w:highlight w:val="none"/>
          <w:u w:val="single"/>
          <w:lang w:val="en-US" w:eastAsia="zh-CN"/>
        </w:rPr>
        <w:t xml:space="preserve">                       </w:t>
      </w:r>
    </w:p>
    <w:p w14:paraId="6D97C13F">
      <w:pPr>
        <w:keepNext w:val="0"/>
        <w:keepLines w:val="0"/>
        <w:pageBreakBefore w:val="0"/>
        <w:widowControl w:val="0"/>
        <w:kinsoku/>
        <w:overflowPunct/>
        <w:topLinePunct w:val="0"/>
        <w:autoSpaceDE/>
        <w:autoSpaceDN/>
        <w:bidi w:val="0"/>
        <w:adjustRightInd w:val="0"/>
        <w:snapToGrid w:val="0"/>
        <w:spacing w:line="360" w:lineRule="auto"/>
        <w:ind w:left="0" w:leftChars="0" w:firstLine="420" w:firstLineChars="200"/>
      </w:pPr>
    </w:p>
    <w:p w14:paraId="475AA5DB">
      <w:pPr>
        <w:pStyle w:val="9"/>
        <w:adjustRightInd w:val="0"/>
        <w:snapToGrid w:val="0"/>
        <w:spacing w:line="360" w:lineRule="auto"/>
        <w:ind w:firstLine="480" w:firstLineChars="200"/>
        <w:rPr>
          <w:rFonts w:hint="default" w:ascii="宋体" w:hAnsi="宋体" w:eastAsia="宋体" w:cs="宋体"/>
          <w:sz w:val="24"/>
          <w:szCs w:val="24"/>
        </w:rPr>
      </w:pPr>
    </w:p>
    <w:p w14:paraId="0E96AFB0"/>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3D741B"/>
    <w:rsid w:val="7B3D74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4"/>
    <w:basedOn w:val="1"/>
    <w:next w:val="1"/>
    <w:qFormat/>
    <w:uiPriority w:val="0"/>
    <w:pPr>
      <w:spacing w:before="100" w:beforeAutospacing="1" w:after="100" w:afterAutospacing="1"/>
      <w:jc w:val="left"/>
      <w:outlineLvl w:val="3"/>
    </w:pPr>
    <w:rPr>
      <w:rFonts w:hint="eastAsia" w:ascii="宋体" w:hAnsi="宋体" w:eastAsia="宋体" w:cs="宋体"/>
      <w:b/>
      <w:kern w:val="0"/>
      <w:sz w:val="24"/>
      <w:szCs w:val="24"/>
      <w:lang w:val="en-US" w:eastAsia="zh-CN" w:bidi="ar"/>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Body Text Indent"/>
    <w:basedOn w:val="1"/>
    <w:next w:val="5"/>
    <w:qFormat/>
    <w:uiPriority w:val="0"/>
    <w:pPr>
      <w:ind w:firstLine="552"/>
    </w:pPr>
    <w:rPr>
      <w:rFonts w:ascii="宋体"/>
      <w:sz w:val="28"/>
    </w:rPr>
  </w:style>
  <w:style w:type="paragraph" w:customStyle="1" w:styleId="5">
    <w:name w:val="font5"/>
    <w:basedOn w:val="1"/>
    <w:qFormat/>
    <w:uiPriority w:val="0"/>
    <w:pPr>
      <w:widowControl/>
      <w:spacing w:before="100" w:beforeAutospacing="1" w:after="100" w:afterAutospacing="1"/>
      <w:jc w:val="left"/>
    </w:pPr>
    <w:rPr>
      <w:rFonts w:hint="eastAsia" w:ascii="宋体" w:hAnsi="宋体"/>
      <w:kern w:val="0"/>
      <w:sz w:val="24"/>
    </w:rPr>
  </w:style>
  <w:style w:type="paragraph" w:styleId="6">
    <w:name w:val="Plain Text"/>
    <w:basedOn w:val="1"/>
    <w:qFormat/>
    <w:uiPriority w:val="0"/>
    <w:rPr>
      <w:rFonts w:ascii="宋体" w:hAnsi="Courier New"/>
    </w:rPr>
  </w:style>
  <w:style w:type="paragraph" w:customStyle="1" w:styleId="9">
    <w:name w:val="null3"/>
    <w:hidden/>
    <w:qFormat/>
    <w:uiPriority w:val="0"/>
    <w:rPr>
      <w:rFonts w:hint="eastAsia" w:asciiTheme="minorHAnsi" w:hAnsiTheme="minorHAnsi" w:eastAsiaTheme="minorEastAsia" w:cstheme="minorBidi"/>
      <w:lang w:val="en-US" w:eastAsia="zh-CN" w:bidi="ar-SA"/>
    </w:rPr>
  </w:style>
  <w:style w:type="paragraph" w:customStyle="1" w:styleId="10">
    <w:name w:val="HTML 预设格式1"/>
    <w:basedOn w:val="1"/>
    <w:qFormat/>
    <w:uiPriority w:val="0"/>
    <w:rPr>
      <w:rFonts w:ascii="Courier New" w:hAnsi="Courier New"/>
      <w:sz w:val="20"/>
    </w:rPr>
  </w:style>
  <w:style w:type="paragraph" w:customStyle="1" w:styleId="11">
    <w:name w:val="List Paragraph"/>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2025-06-27T11:21:00Z</dcterms:created>
  <dc:creator>开瑞</dc:creator>
  <cp:lastModifiedBy>开瑞</cp:lastModifiedBy>
  <dcterms:modified xsi:type="dcterms:W3CDTF">2025-06-27T11:22:42Z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7127061A44E145F2A1FD28822F9FA23A_11</vt:lpwstr>
  </property>
  <property fmtid="{D5CDD505-2E9C-101B-9397-08002B2CF9AE}" pid="4" name="KSOTemplateDocerSaveRecord">
    <vt:lpwstr>eyJoZGlkIjoiNWJlY2JiMDE3MzA4NGFmMWNlMTU4MDg4OGY3M2QxZTQiLCJ1c2VySWQiOiIzODU0NDc2MTYifQ==</vt:lpwstr>
  </property>
</Properties>
</file>