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CD866">
      <w:pPr>
        <w:pStyle w:val="3"/>
        <w:jc w:val="center"/>
        <w:rPr>
          <w:rFonts w:hint="eastAsia" w:ascii="仿宋_GB2312" w:hAnsi="仿宋_GB2312" w:eastAsia="仿宋_GB2312" w:cs="仿宋_GB2312"/>
          <w:color w:val="auto"/>
          <w:sz w:val="36"/>
          <w:szCs w:val="36"/>
        </w:rPr>
      </w:pPr>
      <w:bookmarkStart w:id="0" w:name="_Toc29206"/>
      <w:r>
        <w:rPr>
          <w:rFonts w:hint="eastAsia" w:ascii="仿宋_GB2312" w:hAnsi="仿宋_GB2312" w:eastAsia="仿宋_GB2312" w:cs="仿宋_GB2312"/>
          <w:color w:val="auto"/>
          <w:sz w:val="36"/>
          <w:szCs w:val="36"/>
        </w:rPr>
        <w:t>合同条款格式</w:t>
      </w:r>
      <w:bookmarkEnd w:id="0"/>
    </w:p>
    <w:p w14:paraId="7480D3A5">
      <w:pPr>
        <w:spacing w:before="120" w:line="360" w:lineRule="auto"/>
        <w:jc w:val="center"/>
        <w:rPr>
          <w:rFonts w:hint="eastAsia" w:ascii="仿宋_GB2312" w:hAnsi="仿宋_GB2312" w:eastAsia="仿宋_GB2312" w:cs="仿宋_GB2312"/>
          <w:color w:val="auto"/>
          <w:sz w:val="24"/>
        </w:rPr>
      </w:pPr>
      <w:bookmarkStart w:id="1" w:name="_Toc9523"/>
      <w:bookmarkStart w:id="2" w:name="_Toc23019"/>
      <w:bookmarkStart w:id="3" w:name="_Toc23426"/>
      <w:r>
        <w:rPr>
          <w:rFonts w:hint="eastAsia" w:ascii="仿宋_GB2312" w:hAnsi="仿宋_GB2312" w:eastAsia="仿宋_GB2312" w:cs="仿宋_GB2312"/>
          <w:color w:val="auto"/>
          <w:sz w:val="24"/>
        </w:rPr>
        <w:t>（参考格式）</w:t>
      </w:r>
    </w:p>
    <w:p w14:paraId="6B648C9F">
      <w:pPr>
        <w:spacing w:before="120" w:line="360" w:lineRule="auto"/>
        <w:jc w:val="center"/>
        <w:rPr>
          <w:rFonts w:hint="eastAsia" w:ascii="仿宋_GB2312" w:hAnsi="仿宋_GB2312" w:eastAsia="仿宋_GB2312" w:cs="仿宋_GB2312"/>
          <w:b/>
          <w:bCs/>
          <w:color w:val="auto"/>
          <w:sz w:val="24"/>
        </w:rPr>
      </w:pPr>
    </w:p>
    <w:p w14:paraId="54CF8537">
      <w:pPr>
        <w:spacing w:before="120" w:line="360" w:lineRule="auto"/>
        <w:jc w:val="center"/>
        <w:rPr>
          <w:rFonts w:hint="eastAsia" w:ascii="仿宋_GB2312" w:hAnsi="仿宋_GB2312" w:eastAsia="仿宋_GB2312" w:cs="仿宋_GB2312"/>
          <w:b/>
          <w:bCs/>
          <w:color w:val="auto"/>
          <w:sz w:val="24"/>
        </w:rPr>
      </w:pPr>
    </w:p>
    <w:p w14:paraId="2270A7B7">
      <w:pPr>
        <w:spacing w:before="120" w:line="360" w:lineRule="auto"/>
        <w:jc w:val="center"/>
        <w:rPr>
          <w:rFonts w:hint="eastAsia" w:ascii="仿宋_GB2312" w:hAnsi="仿宋_GB2312" w:eastAsia="仿宋_GB2312" w:cs="仿宋_GB2312"/>
          <w:b/>
          <w:bCs/>
          <w:color w:val="auto"/>
          <w:sz w:val="24"/>
        </w:rPr>
      </w:pPr>
    </w:p>
    <w:p w14:paraId="55826427">
      <w:pPr>
        <w:spacing w:before="12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政 府 采 购 合 同</w:t>
      </w:r>
    </w:p>
    <w:p w14:paraId="38DFA860">
      <w:pPr>
        <w:spacing w:before="120" w:line="360" w:lineRule="auto"/>
        <w:ind w:firstLine="2626" w:firstLineChars="1090"/>
        <w:rPr>
          <w:rFonts w:hint="eastAsia" w:ascii="仿宋_GB2312" w:hAnsi="仿宋_GB2312" w:eastAsia="仿宋_GB2312" w:cs="仿宋_GB2312"/>
          <w:b/>
          <w:bCs/>
          <w:color w:val="auto"/>
          <w:sz w:val="24"/>
        </w:rPr>
      </w:pPr>
      <w:bookmarkStart w:id="4" w:name="_Toc109543216"/>
      <w:bookmarkStart w:id="5" w:name="_Toc109542396"/>
    </w:p>
    <w:p w14:paraId="483124F6">
      <w:pPr>
        <w:spacing w:before="120" w:line="360" w:lineRule="auto"/>
        <w:ind w:firstLine="2626" w:firstLineChars="109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合同编号：</w:t>
      </w:r>
      <w:bookmarkEnd w:id="4"/>
      <w:bookmarkEnd w:id="5"/>
      <w:r>
        <w:rPr>
          <w:rFonts w:hint="eastAsia" w:ascii="仿宋_GB2312" w:hAnsi="仿宋_GB2312" w:eastAsia="仿宋_GB2312" w:cs="仿宋_GB2312"/>
          <w:b/>
          <w:bCs/>
          <w:color w:val="auto"/>
          <w:sz w:val="24"/>
          <w:u w:val="single"/>
        </w:rPr>
        <w:t xml:space="preserve">            </w:t>
      </w:r>
      <w:r>
        <w:rPr>
          <w:rFonts w:hint="eastAsia" w:ascii="仿宋_GB2312" w:hAnsi="仿宋_GB2312" w:eastAsia="仿宋_GB2312" w:cs="仿宋_GB2312"/>
          <w:color w:val="auto"/>
          <w:sz w:val="24"/>
        </w:rPr>
        <w:t xml:space="preserve">        </w:t>
      </w:r>
    </w:p>
    <w:p w14:paraId="13A33787">
      <w:pPr>
        <w:spacing w:before="120" w:line="360" w:lineRule="auto"/>
        <w:ind w:firstLine="1928" w:firstLineChars="800"/>
        <w:rPr>
          <w:rFonts w:hint="eastAsia" w:ascii="仿宋_GB2312" w:hAnsi="仿宋_GB2312" w:eastAsia="仿宋_GB2312" w:cs="仿宋_GB2312"/>
          <w:b/>
          <w:bCs/>
          <w:color w:val="auto"/>
          <w:sz w:val="24"/>
        </w:rPr>
      </w:pPr>
    </w:p>
    <w:p w14:paraId="1D94D28F">
      <w:pPr>
        <w:spacing w:before="120" w:line="360" w:lineRule="auto"/>
        <w:ind w:firstLine="1928" w:firstLineChars="800"/>
        <w:rPr>
          <w:rFonts w:hint="eastAsia" w:ascii="仿宋_GB2312" w:hAnsi="仿宋_GB2312" w:eastAsia="仿宋_GB2312" w:cs="仿宋_GB2312"/>
          <w:b/>
          <w:bCs/>
          <w:color w:val="auto"/>
          <w:sz w:val="24"/>
        </w:rPr>
      </w:pPr>
    </w:p>
    <w:p w14:paraId="115C1537">
      <w:pPr>
        <w:spacing w:before="120"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项目名称：</w:t>
      </w:r>
    </w:p>
    <w:p w14:paraId="0998615A">
      <w:pPr>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 xml:space="preserve">采 购 人： </w:t>
      </w:r>
    </w:p>
    <w:p w14:paraId="438E808E">
      <w:pPr>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供 应 商：</w:t>
      </w:r>
    </w:p>
    <w:p w14:paraId="6227E914">
      <w:pPr>
        <w:spacing w:line="360" w:lineRule="auto"/>
        <w:ind w:firstLine="1928" w:firstLineChars="800"/>
        <w:rPr>
          <w:rFonts w:hint="eastAsia" w:ascii="仿宋_GB2312" w:hAnsi="仿宋_GB2312" w:eastAsia="仿宋_GB2312" w:cs="仿宋_GB2312"/>
          <w:b/>
          <w:bCs/>
          <w:color w:val="auto"/>
          <w:sz w:val="24"/>
        </w:rPr>
      </w:pPr>
    </w:p>
    <w:p w14:paraId="116B8AB0">
      <w:pPr>
        <w:spacing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签署日期：     年    月    日</w:t>
      </w:r>
    </w:p>
    <w:p w14:paraId="791A3D9E">
      <w:pPr>
        <w:spacing w:before="120" w:beforeLines="50" w:line="360" w:lineRule="auto"/>
        <w:jc w:val="center"/>
        <w:rPr>
          <w:rFonts w:hint="eastAsia" w:ascii="仿宋_GB2312" w:hAnsi="仿宋_GB2312" w:eastAsia="仿宋_GB2312" w:cs="仿宋_GB2312"/>
          <w:b/>
          <w:bCs/>
          <w:color w:val="auto"/>
          <w:sz w:val="24"/>
        </w:rPr>
      </w:pPr>
      <w:bookmarkStart w:id="6" w:name="_Toc356927946"/>
      <w:bookmarkStart w:id="7" w:name="_Toc233435953"/>
      <w:r>
        <w:rPr>
          <w:rFonts w:hint="eastAsia" w:ascii="仿宋_GB2312" w:hAnsi="仿宋_GB2312" w:eastAsia="仿宋_GB2312" w:cs="仿宋_GB2312"/>
          <w:color w:val="auto"/>
          <w:sz w:val="24"/>
        </w:rPr>
        <w:br w:type="page"/>
      </w:r>
      <w:bookmarkEnd w:id="6"/>
      <w:bookmarkEnd w:id="7"/>
      <w:r>
        <w:rPr>
          <w:rFonts w:hint="eastAsia" w:ascii="仿宋_GB2312" w:hAnsi="仿宋_GB2312" w:eastAsia="仿宋_GB2312" w:cs="仿宋_GB2312"/>
          <w:b/>
          <w:bCs/>
          <w:color w:val="auto"/>
          <w:sz w:val="24"/>
        </w:rPr>
        <w:t>第一部分  协议书</w:t>
      </w:r>
    </w:p>
    <w:p w14:paraId="284B591C">
      <w:pPr>
        <w:spacing w:before="120" w:beforeLines="5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（主要条款）</w:t>
      </w:r>
    </w:p>
    <w:p w14:paraId="2D5E7E59">
      <w:pPr>
        <w:adjustRightInd w:val="0"/>
        <w:snapToGrid w:val="0"/>
        <w:spacing w:line="360" w:lineRule="auto"/>
        <w:ind w:firstLine="482" w:firstLineChars="200"/>
        <w:rPr>
          <w:rFonts w:hint="eastAsia" w:ascii="仿宋_GB2312" w:hAnsi="仿宋_GB2312" w:eastAsia="仿宋_GB2312" w:cs="仿宋_GB2312"/>
          <w:b/>
          <w:color w:val="auto"/>
          <w:sz w:val="24"/>
        </w:rPr>
      </w:pPr>
    </w:p>
    <w:p w14:paraId="78FC818C">
      <w:pPr>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14:paraId="288BCB58">
      <w:pPr>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14:paraId="62458004">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根据《中华人民共和国民法典》及其他有关法律、法规，遵循平等、自愿、公平和诚信的原则，双方就下述项目范围与相关服务事项协商一致，订立本合同。</w:t>
      </w:r>
    </w:p>
    <w:p w14:paraId="207F5329">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14:paraId="1EA5C0D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3892CA7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02AFAB1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3DA74AE">
      <w:pPr>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项目内容：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58DB38CD">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14:paraId="2FF1692C">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14:paraId="55AED52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成交通知书、磋商响应文件、澄清、补充文件（或委托书）；</w:t>
      </w:r>
    </w:p>
    <w:p w14:paraId="5F7FF4DA">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14:paraId="0C3EB915">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14:paraId="477E861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14:paraId="7B58B2B7">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合同总价包括：人工费、材料费、设计费、管理费、利润、税金、保险的一切费用、税费风险，最终结算以实际审计为准。</w:t>
      </w:r>
    </w:p>
    <w:p w14:paraId="0215A5C6">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14:paraId="715A2070">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1、付款方式：</w:t>
      </w:r>
    </w:p>
    <w:p w14:paraId="63D2C3F8">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合同签订 ，达到付款条件起 15 日内，支付合同总金额的 60.00%。</w:t>
      </w:r>
    </w:p>
    <w:p w14:paraId="06B8ABDF">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项目验收合格后 ，达到付款条件起 15 日内，支付合同总金额的 40.00%。</w:t>
      </w:r>
    </w:p>
    <w:p w14:paraId="20AA4228">
      <w:pPr>
        <w:spacing w:line="360" w:lineRule="auto"/>
        <w:ind w:firstLine="480" w:firstLineChars="200"/>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2、</w:t>
      </w:r>
      <w:r>
        <w:rPr>
          <w:rFonts w:hint="eastAsia" w:ascii="仿宋_GB2312" w:hAnsi="仿宋_GB2312" w:eastAsia="仿宋_GB2312" w:cs="仿宋_GB2312"/>
          <w:color w:val="auto"/>
          <w:sz w:val="24"/>
          <w:lang w:eastAsia="zh-CN"/>
        </w:rPr>
        <w:t>结算方式：根据投标人中标时的每平方米报价（包含青苗赔偿费或土地占用费以及与当地村民协调费用）和实际勘探面积进行结算，经甲方验收合格并经审计部门确认面积后据实结算。</w:t>
      </w:r>
    </w:p>
    <w:p w14:paraId="79DF5A6A">
      <w:pPr>
        <w:adjustRightInd w:val="0"/>
        <w:snapToGrid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14:paraId="41E59BE6">
      <w:pPr>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采购包1：</w:t>
      </w:r>
    </w:p>
    <w:p w14:paraId="4BC18D45">
      <w:pPr>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3个月，以成交供应商所报最终综合单价及实际工作量据实结算，直至该合同包预算金额用完为止。</w:t>
      </w:r>
    </w:p>
    <w:p w14:paraId="51CB12C4">
      <w:pPr>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采购包2：</w:t>
      </w:r>
    </w:p>
    <w:p w14:paraId="232AF2DA">
      <w:pPr>
        <w:spacing w:line="360" w:lineRule="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2个月，以成交供应商所报最终综合单价及实际工作量据实结算，直至该合同包预算金额用完为止。</w:t>
      </w:r>
    </w:p>
    <w:p w14:paraId="09475F19">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14:paraId="154E8330">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14:paraId="60A9C13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14:paraId="5E0109C9">
      <w:pPr>
        <w:tabs>
          <w:tab w:val="left" w:pos="840"/>
        </w:tabs>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14:paraId="78C104A5">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w:t>
      </w:r>
      <w:r>
        <w:rPr>
          <w:rFonts w:hint="eastAsia" w:ascii="仿宋_GB2312" w:hAnsi="仿宋_GB2312" w:eastAsia="仿宋_GB2312" w:cs="仿宋_GB2312"/>
          <w:color w:val="auto"/>
          <w:sz w:val="24"/>
          <w:szCs w:val="24"/>
        </w:rPr>
        <w:t>产品、服务内容、</w:t>
      </w:r>
      <w:r>
        <w:rPr>
          <w:rFonts w:hint="eastAsia" w:ascii="仿宋_GB2312" w:hAnsi="仿宋_GB2312" w:eastAsia="仿宋_GB2312" w:cs="仿宋_GB2312"/>
          <w:color w:val="auto"/>
          <w:sz w:val="24"/>
          <w:lang w:eastAsia="zh-CN"/>
        </w:rPr>
        <w:t>服务期限</w:t>
      </w:r>
      <w:r>
        <w:rPr>
          <w:rFonts w:hint="eastAsia" w:ascii="仿宋_GB2312" w:hAnsi="仿宋_GB2312" w:eastAsia="仿宋_GB2312" w:cs="仿宋_GB2312"/>
          <w:color w:val="auto"/>
          <w:sz w:val="24"/>
        </w:rPr>
        <w:t>与磋商响应文件所指明的，或者与本合同所指明的内容相一致。（附清单）</w:t>
      </w:r>
    </w:p>
    <w:p w14:paraId="63A96D15">
      <w:pPr>
        <w:numPr>
          <w:ilvl w:val="0"/>
          <w:numId w:val="1"/>
        </w:numPr>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b/>
          <w:color w:val="auto"/>
          <w:sz w:val="24"/>
        </w:rPr>
        <w:t>项目实施地点：</w:t>
      </w:r>
    </w:p>
    <w:p w14:paraId="7C817A5C">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采购包1：</w:t>
      </w:r>
    </w:p>
    <w:p w14:paraId="2C6ABB2D">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秦始皇帝陵陵园以外指定地区（计划涉及西安市临潼区代王街道办事处下辖安沟村等、新丰街道办下辖刘寨村等村组），地面附着物为村民民宅、果树或青苗等。</w:t>
      </w:r>
    </w:p>
    <w:p w14:paraId="339C6D79">
      <w:pPr>
        <w:tabs>
          <w:tab w:val="left" w:pos="840"/>
        </w:tabs>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采购包</w:t>
      </w: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w:t>
      </w:r>
    </w:p>
    <w:p w14:paraId="119FE81F">
      <w:pPr>
        <w:tabs>
          <w:tab w:val="left" w:pos="840"/>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rPr>
        <w:t>宝鸡市陈仓区千河镇魏家崖行政村东北，引渭渠东侧生产路以东，俱刘村以西。当前地表覆盖作物小麦。</w:t>
      </w:r>
    </w:p>
    <w:p w14:paraId="2F5937D5">
      <w:pPr>
        <w:numPr>
          <w:ilvl w:val="0"/>
          <w:numId w:val="0"/>
        </w:num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九、质量保证：</w:t>
      </w:r>
    </w:p>
    <w:p w14:paraId="63C78166">
      <w:pPr>
        <w:spacing w:line="360" w:lineRule="auto"/>
        <w:ind w:firstLine="480" w:firstLineChars="200"/>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投标人须按照《田野考古工作规程》及相关文物保护要求和采购人的要求开展考古勘探服务工作。做好勘探记录（文字、图纸、照片、图表、视频、测绘等），按采购人要求完成考古勘探服务，确保考古勘探服务的质量。</w:t>
      </w:r>
    </w:p>
    <w:p w14:paraId="25C817DA">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十、保密</w:t>
      </w:r>
    </w:p>
    <w:p w14:paraId="18F74F47">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14:paraId="3965F215">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十一、知识产权</w:t>
      </w:r>
    </w:p>
    <w:p w14:paraId="4492393F">
      <w:pPr>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14:paraId="44CC85F9">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十二、合同争议的解决：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14:paraId="2C05F9FE">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十三、</w:t>
      </w:r>
      <w:r>
        <w:rPr>
          <w:rFonts w:hint="eastAsia" w:ascii="仿宋_GB2312" w:hAnsi="仿宋_GB2312" w:eastAsia="仿宋_GB2312" w:cs="仿宋_GB2312"/>
          <w:color w:val="auto"/>
          <w:sz w:val="24"/>
        </w:rPr>
        <w:t>在发生不可抗力情况下的应对措施和解决办法。</w:t>
      </w:r>
    </w:p>
    <w:p w14:paraId="5A73AF02">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lang w:eastAsia="zh-CN"/>
        </w:rPr>
        <w:t>十</w:t>
      </w:r>
      <w:bookmarkStart w:id="8" w:name="_GoBack"/>
      <w:bookmarkEnd w:id="8"/>
      <w:r>
        <w:rPr>
          <w:rFonts w:hint="eastAsia" w:ascii="仿宋_GB2312" w:hAnsi="仿宋_GB2312" w:eastAsia="仿宋_GB2312" w:cs="仿宋_GB2312"/>
          <w:b/>
          <w:color w:val="auto"/>
          <w:sz w:val="24"/>
        </w:rPr>
        <w:t>四、</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14:paraId="314A5A2C">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十五、违约责任：</w:t>
      </w:r>
      <w:r>
        <w:rPr>
          <w:rFonts w:hint="eastAsia" w:ascii="仿宋_GB2312" w:hAnsi="仿宋_GB2312" w:eastAsia="仿宋_GB2312" w:cs="仿宋_GB2312"/>
          <w:color w:val="auto"/>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1ED800D3">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十六、其他（</w:t>
      </w:r>
      <w:r>
        <w:rPr>
          <w:rFonts w:hint="eastAsia" w:ascii="仿宋_GB2312" w:hAnsi="仿宋_GB2312" w:eastAsia="仿宋_GB2312" w:cs="仿宋_GB2312"/>
          <w:color w:val="auto"/>
          <w:sz w:val="24"/>
        </w:rPr>
        <w:t>在合同中具体明确）</w:t>
      </w:r>
    </w:p>
    <w:p w14:paraId="403E3938">
      <w:pPr>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十七、合同订立</w:t>
      </w:r>
    </w:p>
    <w:p w14:paraId="7917286F">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14:paraId="27245E4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7483D871">
      <w:pPr>
        <w:tabs>
          <w:tab w:val="left" w:pos="980"/>
        </w:tabs>
        <w:kinsoku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14:paraId="3D80F167">
      <w:pPr>
        <w:adjustRightInd w:val="0"/>
        <w:snapToGrid w:val="0"/>
        <w:spacing w:line="360" w:lineRule="auto"/>
        <w:ind w:firstLine="475" w:firstLineChars="198"/>
        <w:rPr>
          <w:rFonts w:hint="eastAsia" w:ascii="仿宋_GB2312" w:hAnsi="仿宋_GB2312" w:eastAsia="仿宋_GB2312" w:cs="仿宋_GB2312"/>
          <w:color w:val="auto"/>
          <w:sz w:val="24"/>
        </w:rPr>
      </w:pPr>
    </w:p>
    <w:p w14:paraId="3C961B5E">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14:paraId="4172CAC2">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14:paraId="69A25067">
      <w:pPr>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           </w:t>
      </w:r>
      <w:r>
        <w:rPr>
          <w:rFonts w:hint="eastAsia" w:ascii="仿宋_GB2312" w:hAnsi="仿宋_GB2312" w:eastAsia="仿宋_GB2312" w:cs="仿宋_GB2312"/>
          <w:color w:val="auto"/>
          <w:sz w:val="24"/>
          <w:u w:val="single"/>
        </w:rPr>
        <w:t xml:space="preserve"> </w:t>
      </w:r>
    </w:p>
    <w:p w14:paraId="2295D0A3">
      <w:pPr>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14:paraId="13F34CD5">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          </w:t>
      </w:r>
    </w:p>
    <w:p w14:paraId="7A289BB8">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14:paraId="54203B30">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14:paraId="68C2FBFC">
      <w:pPr>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14:paraId="3431DC2A">
      <w:pPr>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bookmarkEnd w:id="1"/>
      <w:bookmarkEnd w:id="2"/>
      <w:bookmarkEnd w:id="3"/>
    </w:p>
    <w:p w14:paraId="2C75AE54">
      <w:pPr>
        <w:adjustRightInd w:val="0"/>
        <w:snapToGrid w:val="0"/>
        <w:spacing w:line="360" w:lineRule="auto"/>
        <w:rPr>
          <w:rFonts w:hint="eastAsia" w:ascii="仿宋_GB2312" w:hAnsi="仿宋_GB2312" w:eastAsia="仿宋_GB2312" w:cs="仿宋_GB2312"/>
          <w:color w:val="auto"/>
          <w:sz w:val="24"/>
          <w:u w:val="single"/>
        </w:rPr>
      </w:pPr>
    </w:p>
    <w:p w14:paraId="6BA032C9">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4D2FC4B5">
      <w:pPr>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7B7C6083">
      <w:pPr>
        <w:adjustRightInd w:val="0"/>
        <w:snapToGrid w:val="0"/>
        <w:spacing w:line="360" w:lineRule="auto"/>
        <w:ind w:firstLine="475" w:firstLineChars="198"/>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（合同模板供参考）</w:t>
      </w:r>
    </w:p>
    <w:p w14:paraId="41AE5D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8BC395"/>
    <w:multiLevelType w:val="singleLevel"/>
    <w:tmpl w:val="E48BC395"/>
    <w:lvl w:ilvl="0" w:tentative="0">
      <w:start w:val="8"/>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5EAD52DB"/>
    <w:rsid w:val="0490144A"/>
    <w:rsid w:val="0A4F320E"/>
    <w:rsid w:val="0E134225"/>
    <w:rsid w:val="25CB3C39"/>
    <w:rsid w:val="2BD15D21"/>
    <w:rsid w:val="33527747"/>
    <w:rsid w:val="34FB796B"/>
    <w:rsid w:val="3E3068D7"/>
    <w:rsid w:val="4CE672CD"/>
    <w:rsid w:val="4D0E0101"/>
    <w:rsid w:val="527C09F8"/>
    <w:rsid w:val="5EAD52DB"/>
    <w:rsid w:val="61710DEE"/>
    <w:rsid w:val="69EF6E4B"/>
    <w:rsid w:val="6AEC1C54"/>
    <w:rsid w:val="6E4C47B8"/>
    <w:rsid w:val="72C2773E"/>
    <w:rsid w:val="78D1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Calibri" w:hAnsi="Calibri"/>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firstLine="630"/>
    </w:pPr>
    <w:rPr>
      <w:sz w:val="32"/>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1489</Words>
  <Characters>1507</Characters>
  <Lines>0</Lines>
  <Paragraphs>0</Paragraphs>
  <TotalTime>0</TotalTime>
  <ScaleCrop>false</ScaleCrop>
  <LinksUpToDate>false</LinksUpToDate>
  <CharactersWithSpaces>2215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2024-08-20T06:08:00Z</dcterms:created>
  <dc:creator>范文辉</dc:creator>
  <cp:lastModifiedBy>范文辉</cp:lastModifiedBy>
  <dcterms:modified xsi:type="dcterms:W3CDTF">2025-05-29T09:00:05Z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7528DC181E4949A8B93D6904C9150267_11</vt:lpwstr>
  </property>
  <property fmtid="{D5CDD505-2E9C-101B-9397-08002B2CF9AE}" pid="4" name="KSOTemplateDocerSaveRecord">
    <vt:lpwstr>eyJoZGlkIjoiMjFhNDQ4YjlmODYzZDIwNmFmNzIyNDk1NGExMTdjZjIiLCJ1c2VySWQiOiIxMDIwOTc3OTMxIn0=</vt:lpwstr>
  </property>
</Properties>
</file>