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1BA007">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szCs w:val="32"/>
          <w:highlight w:val="none"/>
          <w:lang w:val="en-US" w:eastAsia="zh-CN"/>
        </w:rPr>
      </w:pPr>
      <w:bookmarkStart w:id="0" w:name="_Toc19916"/>
      <w:bookmarkStart w:id="1" w:name="_Toc23324"/>
      <w:r>
        <w:rPr>
          <w:rFonts w:hint="eastAsia" w:ascii="宋体" w:hAnsi="宋体" w:cs="宋体"/>
          <w:b/>
          <w:bCs/>
          <w:sz w:val="44"/>
          <w:szCs w:val="44"/>
          <w:highlight w:val="none"/>
          <w:u w:val="single"/>
          <w:lang w:eastAsia="zh-CN"/>
        </w:rPr>
        <w:t>（</w:t>
      </w:r>
      <w:r>
        <w:rPr>
          <w:rFonts w:hint="eastAsia" w:ascii="宋体" w:hAnsi="宋体" w:cs="宋体"/>
          <w:b/>
          <w:bCs/>
          <w:sz w:val="44"/>
          <w:szCs w:val="44"/>
          <w:highlight w:val="none"/>
          <w:u w:val="single"/>
          <w:lang w:val="en-US" w:eastAsia="zh-CN"/>
        </w:rPr>
        <w:t>项目名称</w:t>
      </w:r>
      <w:r>
        <w:rPr>
          <w:rFonts w:hint="eastAsia" w:ascii="宋体" w:hAnsi="宋体" w:cs="宋体"/>
          <w:b/>
          <w:bCs/>
          <w:sz w:val="44"/>
          <w:szCs w:val="44"/>
          <w:highlight w:val="none"/>
          <w:u w:val="single"/>
          <w:lang w:eastAsia="zh-CN"/>
        </w:rPr>
        <w:t>）</w:t>
      </w:r>
      <w:r>
        <w:rPr>
          <w:rFonts w:hint="eastAsia" w:ascii="宋体" w:hAnsi="宋体" w:eastAsia="宋体" w:cs="宋体"/>
          <w:b/>
          <w:bCs/>
          <w:sz w:val="44"/>
          <w:szCs w:val="44"/>
          <w:highlight w:val="none"/>
        </w:rPr>
        <w:t>项目</w:t>
      </w:r>
      <w:bookmarkEnd w:id="0"/>
      <w:bookmarkEnd w:id="1"/>
      <w:bookmarkStart w:id="2" w:name="_Toc28853"/>
      <w:bookmarkStart w:id="3" w:name="_Toc8687"/>
    </w:p>
    <w:bookmarkEnd w:id="2"/>
    <w:bookmarkEnd w:id="3"/>
    <w:p w14:paraId="1DC4C514">
      <w:pPr>
        <w:spacing w:line="420" w:lineRule="exact"/>
        <w:ind w:firstLine="480"/>
        <w:jc w:val="center"/>
        <w:outlineLvl w:val="9"/>
        <w:rPr>
          <w:rStyle w:val="9"/>
          <w:rFonts w:hint="eastAsia"/>
        </w:rPr>
      </w:pPr>
    </w:p>
    <w:p w14:paraId="2A0F6676">
      <w:pPr>
        <w:spacing w:line="420" w:lineRule="exact"/>
        <w:ind w:firstLine="480"/>
        <w:jc w:val="center"/>
        <w:outlineLvl w:val="9"/>
        <w:rPr>
          <w:rStyle w:val="9"/>
          <w:rFonts w:hint="eastAsia"/>
        </w:rPr>
      </w:pPr>
    </w:p>
    <w:p w14:paraId="476693CE">
      <w:pPr>
        <w:spacing w:line="420" w:lineRule="exact"/>
        <w:ind w:firstLine="480"/>
        <w:jc w:val="center"/>
        <w:outlineLvl w:val="9"/>
        <w:rPr>
          <w:rStyle w:val="9"/>
          <w:rFonts w:hint="eastAsia"/>
        </w:rPr>
      </w:pPr>
    </w:p>
    <w:p w14:paraId="49095F37">
      <w:pPr>
        <w:spacing w:line="420" w:lineRule="exact"/>
        <w:ind w:firstLine="480"/>
        <w:jc w:val="center"/>
        <w:outlineLvl w:val="9"/>
        <w:rPr>
          <w:rStyle w:val="9"/>
          <w:rFonts w:hint="eastAsia"/>
        </w:rPr>
      </w:pPr>
    </w:p>
    <w:p w14:paraId="77779207">
      <w:pPr>
        <w:spacing w:line="420" w:lineRule="exact"/>
        <w:ind w:firstLine="480"/>
        <w:jc w:val="center"/>
        <w:outlineLvl w:val="9"/>
        <w:rPr>
          <w:rStyle w:val="9"/>
          <w:rFonts w:hint="eastAsia"/>
        </w:rPr>
      </w:pPr>
    </w:p>
    <w:p w14:paraId="5753FDF1">
      <w:pPr>
        <w:spacing w:line="420" w:lineRule="exact"/>
        <w:ind w:firstLine="480"/>
        <w:jc w:val="center"/>
        <w:outlineLvl w:val="9"/>
        <w:rPr>
          <w:rStyle w:val="9"/>
          <w:rFonts w:hint="eastAsia"/>
        </w:rPr>
      </w:pPr>
    </w:p>
    <w:p w14:paraId="5C48F1B2">
      <w:pPr>
        <w:spacing w:line="420" w:lineRule="exact"/>
        <w:ind w:firstLine="480"/>
        <w:jc w:val="center"/>
        <w:outlineLvl w:val="9"/>
        <w:rPr>
          <w:rStyle w:val="9"/>
          <w:rFonts w:hint="eastAsia"/>
        </w:rPr>
      </w:pPr>
    </w:p>
    <w:p w14:paraId="41A404A9">
      <w:pPr>
        <w:spacing w:line="420" w:lineRule="exact"/>
        <w:ind w:firstLine="480"/>
        <w:jc w:val="center"/>
        <w:outlineLvl w:val="9"/>
        <w:rPr>
          <w:rStyle w:val="9"/>
          <w:rFonts w:hint="eastAsia"/>
        </w:rPr>
      </w:pPr>
    </w:p>
    <w:p w14:paraId="09324A1F">
      <w:pPr>
        <w:spacing w:line="420" w:lineRule="exact"/>
        <w:ind w:firstLine="480"/>
        <w:jc w:val="center"/>
        <w:outlineLvl w:val="9"/>
        <w:rPr>
          <w:rStyle w:val="9"/>
          <w:rFonts w:hint="eastAsia"/>
        </w:rPr>
      </w:pPr>
    </w:p>
    <w:p w14:paraId="641916E9">
      <w:pPr>
        <w:spacing w:line="420" w:lineRule="exact"/>
        <w:ind w:firstLine="480"/>
        <w:jc w:val="center"/>
        <w:outlineLvl w:val="9"/>
        <w:rPr>
          <w:rStyle w:val="9"/>
          <w:rFonts w:hint="eastAsia"/>
        </w:rPr>
      </w:pPr>
    </w:p>
    <w:p w14:paraId="513BBF73">
      <w:pPr>
        <w:spacing w:line="420" w:lineRule="exact"/>
        <w:jc w:val="both"/>
        <w:outlineLvl w:val="9"/>
        <w:rPr>
          <w:rStyle w:val="9"/>
          <w:rFonts w:hint="eastAsia"/>
        </w:rPr>
      </w:pPr>
    </w:p>
    <w:p w14:paraId="6E4403A4">
      <w:pPr>
        <w:spacing w:line="420" w:lineRule="exact"/>
        <w:ind w:firstLine="480"/>
        <w:jc w:val="center"/>
        <w:outlineLvl w:val="9"/>
        <w:rPr>
          <w:rStyle w:val="9"/>
          <w:rFonts w:hint="eastAsia"/>
        </w:rPr>
      </w:pPr>
    </w:p>
    <w:p w14:paraId="054DD3A4">
      <w:pPr>
        <w:spacing w:line="420" w:lineRule="exact"/>
        <w:ind w:firstLine="480"/>
        <w:jc w:val="center"/>
        <w:outlineLvl w:val="9"/>
        <w:rPr>
          <w:rStyle w:val="9"/>
          <w:rFonts w:hint="eastAsia"/>
        </w:rPr>
      </w:pPr>
    </w:p>
    <w:p w14:paraId="15F8C12E">
      <w:pPr>
        <w:bidi w:val="0"/>
        <w:jc w:val="center"/>
        <w:rPr>
          <w:rFonts w:hint="eastAsia"/>
          <w:b/>
          <w:bCs/>
          <w:sz w:val="32"/>
          <w:szCs w:val="32"/>
          <w:lang w:eastAsia="zh-CN"/>
        </w:rPr>
      </w:pPr>
      <w:bookmarkStart w:id="4" w:name="_Toc19789"/>
      <w:bookmarkStart w:id="5" w:name="_Toc8702"/>
      <w:r>
        <w:rPr>
          <w:rFonts w:hint="eastAsia"/>
          <w:b/>
          <w:bCs/>
          <w:sz w:val="32"/>
          <w:szCs w:val="32"/>
          <w:lang w:eastAsia="zh-CN"/>
        </w:rPr>
        <w:t>（</w:t>
      </w:r>
      <w:r>
        <w:rPr>
          <w:rFonts w:hint="eastAsia"/>
          <w:b/>
          <w:bCs/>
          <w:sz w:val="32"/>
          <w:szCs w:val="32"/>
          <w:lang w:val="en-US" w:eastAsia="zh-CN"/>
        </w:rPr>
        <w:t>参考文本</w:t>
      </w:r>
      <w:r>
        <w:rPr>
          <w:rFonts w:hint="eastAsia"/>
          <w:b/>
          <w:bCs/>
          <w:sz w:val="32"/>
          <w:szCs w:val="32"/>
          <w:lang w:eastAsia="zh-CN"/>
        </w:rPr>
        <w:t>）</w:t>
      </w:r>
      <w:bookmarkEnd w:id="4"/>
      <w:bookmarkEnd w:id="5"/>
    </w:p>
    <w:p w14:paraId="39A2FC11">
      <w:pPr>
        <w:spacing w:line="420" w:lineRule="exact"/>
        <w:ind w:firstLine="480"/>
        <w:jc w:val="center"/>
        <w:outlineLvl w:val="9"/>
        <w:rPr>
          <w:rStyle w:val="9"/>
          <w:rFonts w:hint="eastAsia" w:eastAsia="宋体"/>
          <w:lang w:eastAsia="zh-CN"/>
        </w:rPr>
      </w:pPr>
    </w:p>
    <w:p w14:paraId="08B3CFC8">
      <w:pPr>
        <w:spacing w:line="420" w:lineRule="exact"/>
        <w:ind w:firstLine="480"/>
        <w:jc w:val="center"/>
        <w:outlineLvl w:val="9"/>
        <w:rPr>
          <w:rStyle w:val="9"/>
          <w:rFonts w:hint="eastAsia" w:eastAsia="宋体"/>
          <w:lang w:eastAsia="zh-CN"/>
        </w:rPr>
      </w:pPr>
    </w:p>
    <w:p w14:paraId="5995C213">
      <w:pPr>
        <w:bidi w:val="0"/>
        <w:jc w:val="center"/>
        <w:rPr>
          <w:rFonts w:hint="default" w:ascii="仿宋" w:hAnsi="仿宋" w:eastAsia="仿宋" w:cs="仿宋"/>
          <w:sz w:val="18"/>
          <w:szCs w:val="21"/>
          <w:highlight w:val="none"/>
          <w:lang w:val="en-US"/>
        </w:rPr>
      </w:pPr>
      <w:r>
        <w:rPr>
          <w:rStyle w:val="9"/>
          <w:rFonts w:hint="eastAsia"/>
        </w:rPr>
        <w:br w:type="page"/>
      </w:r>
      <w:bookmarkStart w:id="6" w:name="_Toc389582037"/>
      <w:bookmarkStart w:id="7" w:name="_Toc31520"/>
      <w:bookmarkStart w:id="8" w:name="_Toc29888"/>
      <w:bookmarkStart w:id="9" w:name="_Toc19246"/>
      <w:bookmarkStart w:id="10" w:name="_Toc19199"/>
      <w:bookmarkStart w:id="11" w:name="_Toc8333"/>
      <w:bookmarkStart w:id="12" w:name="_Toc4679"/>
      <w:bookmarkStart w:id="13" w:name="_Toc26595"/>
      <w:bookmarkStart w:id="14" w:name="_Toc423973075"/>
      <w:r>
        <w:rPr>
          <w:rFonts w:hint="eastAsia" w:ascii="仿宋" w:hAnsi="仿宋" w:cs="仿宋"/>
          <w:b/>
          <w:bCs/>
          <w:sz w:val="40"/>
          <w:szCs w:val="28"/>
          <w:highlight w:val="none"/>
          <w:lang w:eastAsia="zh-CN"/>
        </w:rPr>
        <w:t>服务项目</w:t>
      </w:r>
      <w:r>
        <w:rPr>
          <w:rFonts w:hint="eastAsia" w:ascii="仿宋" w:hAnsi="仿宋" w:cs="仿宋"/>
          <w:b/>
          <w:bCs/>
          <w:sz w:val="40"/>
          <w:szCs w:val="28"/>
          <w:highlight w:val="none"/>
          <w:lang w:val="en-US" w:eastAsia="zh-CN"/>
        </w:rPr>
        <w:t>合同</w:t>
      </w:r>
    </w:p>
    <w:p w14:paraId="0C223414">
      <w:pPr>
        <w:widowControl w:val="0"/>
        <w:spacing w:after="120"/>
        <w:jc w:val="both"/>
        <w:rPr>
          <w:rFonts w:hint="eastAsia" w:ascii="仿宋" w:hAnsi="仿宋" w:eastAsia="仿宋" w:cs="仿宋"/>
          <w:kern w:val="2"/>
          <w:sz w:val="21"/>
          <w:highlight w:val="none"/>
          <w:lang w:val="en-US" w:eastAsia="zh-CN" w:bidi="ar-SA"/>
        </w:rPr>
      </w:pPr>
    </w:p>
    <w:p w14:paraId="096D3621">
      <w:pPr>
        <w:keepNext w:val="0"/>
        <w:keepLines w:val="0"/>
        <w:pageBreakBefore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b/>
          <w:color w:val="000000"/>
          <w:kern w:val="0"/>
          <w:sz w:val="21"/>
          <w:szCs w:val="21"/>
          <w:highlight w:val="none"/>
        </w:rPr>
      </w:pPr>
      <w:r>
        <w:rPr>
          <w:rFonts w:hint="eastAsia" w:ascii="宋体" w:hAnsi="宋体" w:eastAsia="宋体" w:cs="宋体"/>
          <w:b/>
          <w:color w:val="000000"/>
          <w:kern w:val="0"/>
          <w:sz w:val="21"/>
          <w:szCs w:val="21"/>
          <w:highlight w:val="none"/>
        </w:rPr>
        <w:t>合同编号：</w:t>
      </w:r>
      <w:r>
        <w:rPr>
          <w:rFonts w:hint="eastAsia" w:ascii="宋体" w:hAnsi="宋体" w:eastAsia="宋体" w:cs="宋体"/>
          <w:color w:val="000000"/>
          <w:kern w:val="0"/>
          <w:sz w:val="21"/>
          <w:szCs w:val="21"/>
          <w:highlight w:val="none"/>
          <w:u w:val="single"/>
          <w:lang w:val="en-US" w:eastAsia="zh-CN"/>
        </w:rPr>
        <w:t xml:space="preserve">                  </w:t>
      </w:r>
    </w:p>
    <w:p w14:paraId="74E6D94D">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kern w:val="0"/>
          <w:sz w:val="21"/>
          <w:szCs w:val="21"/>
          <w:highlight w:val="none"/>
          <w:lang w:val="en-US" w:eastAsia="zh-CN"/>
        </w:rPr>
      </w:pPr>
      <w:r>
        <w:rPr>
          <w:rFonts w:hint="eastAsia" w:ascii="宋体" w:hAnsi="宋体" w:eastAsia="宋体" w:cs="宋体"/>
          <w:color w:val="000000"/>
          <w:kern w:val="0"/>
          <w:sz w:val="21"/>
          <w:szCs w:val="21"/>
          <w:highlight w:val="none"/>
        </w:rPr>
        <w:t>甲方</w:t>
      </w:r>
      <w:r>
        <w:rPr>
          <w:rFonts w:hint="eastAsia" w:ascii="宋体" w:hAnsi="宋体" w:eastAsia="宋体" w:cs="宋体"/>
          <w:color w:val="000000"/>
          <w:kern w:val="0"/>
          <w:sz w:val="21"/>
          <w:szCs w:val="21"/>
          <w:highlight w:val="none"/>
          <w:lang w:eastAsia="zh-CN"/>
        </w:rPr>
        <w:t>（采购人）</w:t>
      </w:r>
      <w:r>
        <w:rPr>
          <w:rFonts w:hint="eastAsia" w:ascii="宋体" w:hAnsi="宋体" w:eastAsia="宋体" w:cs="宋体"/>
          <w:color w:val="000000"/>
          <w:kern w:val="0"/>
          <w:sz w:val="21"/>
          <w:szCs w:val="21"/>
          <w:highlight w:val="none"/>
        </w:rPr>
        <w:t>：</w:t>
      </w:r>
      <w:r>
        <w:rPr>
          <w:rFonts w:hint="eastAsia" w:ascii="宋体" w:hAnsi="宋体" w:eastAsia="宋体" w:cs="宋体"/>
          <w:color w:val="000000"/>
          <w:kern w:val="0"/>
          <w:sz w:val="21"/>
          <w:szCs w:val="21"/>
          <w:highlight w:val="none"/>
          <w:u w:val="single"/>
          <w:lang w:val="en-US" w:eastAsia="zh-CN"/>
        </w:rPr>
        <w:t xml:space="preserve">                  </w:t>
      </w:r>
    </w:p>
    <w:p w14:paraId="43EB0A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乙方</w:t>
      </w:r>
      <w:r>
        <w:rPr>
          <w:rFonts w:hint="eastAsia" w:ascii="宋体" w:hAnsi="宋体" w:eastAsia="宋体" w:cs="宋体"/>
          <w:color w:val="000000"/>
          <w:kern w:val="0"/>
          <w:sz w:val="21"/>
          <w:szCs w:val="21"/>
          <w:highlight w:val="none"/>
          <w:lang w:eastAsia="zh-CN"/>
        </w:rPr>
        <w:t>（供应商）</w:t>
      </w:r>
      <w:r>
        <w:rPr>
          <w:rFonts w:hint="eastAsia" w:ascii="宋体" w:hAnsi="宋体" w:eastAsia="宋体" w:cs="宋体"/>
          <w:color w:val="000000"/>
          <w:kern w:val="0"/>
          <w:sz w:val="21"/>
          <w:szCs w:val="21"/>
          <w:highlight w:val="none"/>
        </w:rPr>
        <w:t>：</w:t>
      </w:r>
      <w:r>
        <w:rPr>
          <w:rFonts w:hint="eastAsia" w:ascii="宋体" w:hAnsi="宋体" w:eastAsia="宋体" w:cs="宋体"/>
          <w:color w:val="000000"/>
          <w:kern w:val="0"/>
          <w:sz w:val="21"/>
          <w:szCs w:val="21"/>
          <w:highlight w:val="none"/>
          <w:u w:val="single"/>
          <w:lang w:val="en-US" w:eastAsia="zh-CN"/>
        </w:rPr>
        <w:t xml:space="preserve">                  </w:t>
      </w:r>
    </w:p>
    <w:p w14:paraId="282699E6">
      <w:pPr>
        <w:keepNext w:val="0"/>
        <w:keepLines w:val="0"/>
        <w:pageBreakBefore w:val="0"/>
        <w:widowControl w:val="0"/>
        <w:tabs>
          <w:tab w:val="left" w:pos="900"/>
        </w:tabs>
        <w:kinsoku/>
        <w:wordWrap/>
        <w:overflowPunct/>
        <w:topLinePunct w:val="0"/>
        <w:autoSpaceDE/>
        <w:autoSpaceDN/>
        <w:bidi w:val="0"/>
        <w:adjustRightInd/>
        <w:spacing w:line="360" w:lineRule="auto"/>
        <w:ind w:firstLine="472" w:firstLineChars="225"/>
        <w:textAlignment w:val="auto"/>
        <w:rPr>
          <w:rFonts w:hint="default" w:ascii="宋体" w:hAnsi="宋体" w:eastAsia="宋体" w:cs="宋体"/>
          <w:color w:val="000000"/>
          <w:kern w:val="0"/>
          <w:sz w:val="21"/>
          <w:szCs w:val="21"/>
          <w:highlight w:val="none"/>
          <w:lang w:val="en-US" w:eastAsia="zh-CN"/>
        </w:rPr>
      </w:pPr>
      <w:bookmarkStart w:id="15" w:name="_Toc24810"/>
      <w:bookmarkStart w:id="16" w:name="_Toc16824"/>
      <w:r>
        <w:rPr>
          <w:rFonts w:hint="eastAsia" w:ascii="宋体" w:hAnsi="宋体" w:eastAsia="宋体" w:cs="宋体"/>
          <w:color w:val="000000"/>
          <w:kern w:val="0"/>
          <w:sz w:val="21"/>
          <w:szCs w:val="21"/>
          <w:highlight w:val="none"/>
        </w:rPr>
        <w:t>为了保证本合同项目的顺利进行，根据《中华人民共和国</w:t>
      </w:r>
      <w:r>
        <w:rPr>
          <w:rFonts w:hint="eastAsia" w:ascii="宋体" w:hAnsi="宋体" w:eastAsia="宋体" w:cs="宋体"/>
          <w:color w:val="000000"/>
          <w:kern w:val="0"/>
          <w:sz w:val="21"/>
          <w:szCs w:val="21"/>
          <w:highlight w:val="none"/>
          <w:lang w:val="en-US" w:eastAsia="zh-CN"/>
        </w:rPr>
        <w:t>民法典</w:t>
      </w:r>
      <w:r>
        <w:rPr>
          <w:rFonts w:hint="eastAsia" w:ascii="宋体" w:hAnsi="宋体" w:eastAsia="宋体" w:cs="宋体"/>
          <w:color w:val="000000"/>
          <w:kern w:val="0"/>
          <w:sz w:val="21"/>
          <w:szCs w:val="21"/>
          <w:highlight w:val="none"/>
        </w:rPr>
        <w:t>》等相关法律、</w:t>
      </w:r>
      <w:r>
        <w:rPr>
          <w:rFonts w:hint="eastAsia" w:ascii="宋体" w:hAnsi="宋体" w:eastAsia="宋体" w:cs="宋体"/>
          <w:color w:val="000000"/>
          <w:kern w:val="0"/>
          <w:sz w:val="21"/>
          <w:szCs w:val="21"/>
          <w:highlight w:val="none"/>
          <w:lang w:val="en-US" w:eastAsia="zh-CN"/>
        </w:rPr>
        <w:t>法规的规定及甲方关于</w:t>
      </w:r>
      <w:r>
        <w:rPr>
          <w:rFonts w:hint="eastAsia" w:ascii="宋体" w:hAnsi="宋体" w:eastAsia="宋体" w:cs="宋体"/>
          <w:color w:val="000000"/>
          <w:kern w:val="0"/>
          <w:sz w:val="21"/>
          <w:szCs w:val="21"/>
          <w:highlight w:val="none"/>
          <w:u w:val="single"/>
          <w:lang w:val="en-US" w:eastAsia="zh-CN"/>
        </w:rPr>
        <w:t xml:space="preserve">           （项目名称）  </w:t>
      </w:r>
      <w:r>
        <w:rPr>
          <w:rFonts w:hint="eastAsia" w:ascii="宋体" w:hAnsi="宋体" w:eastAsia="宋体" w:cs="宋体"/>
          <w:color w:val="000000"/>
          <w:kern w:val="0"/>
          <w:sz w:val="21"/>
          <w:szCs w:val="21"/>
          <w:highlight w:val="none"/>
          <w:lang w:val="en-US" w:eastAsia="zh-CN"/>
        </w:rPr>
        <w:t>的磋商结果和磋商文件</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lang w:val="en-US" w:eastAsia="zh-CN"/>
        </w:rPr>
        <w:t>的要求，经甲乙双方协商一致，签订本合同，共同遵守。</w:t>
      </w:r>
    </w:p>
    <w:bookmarkEnd w:id="15"/>
    <w:bookmarkEnd w:id="16"/>
    <w:p w14:paraId="7CFFAE56">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cs="宋体"/>
          <w:b/>
          <w:color w:val="000000"/>
          <w:kern w:val="0"/>
          <w:sz w:val="21"/>
          <w:szCs w:val="21"/>
          <w:highlight w:val="none"/>
          <w:lang w:val="en-US" w:eastAsia="zh-CN"/>
        </w:rPr>
      </w:pPr>
      <w:r>
        <w:rPr>
          <w:rFonts w:hint="eastAsia" w:ascii="宋体" w:hAnsi="宋体" w:cs="宋体"/>
          <w:b/>
          <w:color w:val="000000"/>
          <w:kern w:val="0"/>
          <w:sz w:val="21"/>
          <w:szCs w:val="21"/>
          <w:highlight w:val="none"/>
          <w:lang w:val="en-US" w:eastAsia="zh-CN"/>
        </w:rPr>
        <w:t>一、项目概况：</w:t>
      </w:r>
    </w:p>
    <w:p w14:paraId="0A04228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1、项目名称：</w:t>
      </w:r>
      <w:r>
        <w:rPr>
          <w:rFonts w:hint="eastAsia" w:ascii="宋体" w:hAnsi="宋体" w:cs="宋体"/>
          <w:color w:val="000000"/>
          <w:kern w:val="0"/>
          <w:sz w:val="21"/>
          <w:szCs w:val="21"/>
          <w:highlight w:val="none"/>
          <w:u w:val="single"/>
          <w:lang w:val="en-US" w:eastAsia="zh-CN"/>
        </w:rPr>
        <w:t xml:space="preserve"> 专利预审分类号优化项目 </w:t>
      </w:r>
      <w:r>
        <w:rPr>
          <w:rFonts w:hint="eastAsia" w:ascii="宋体" w:hAnsi="宋体" w:eastAsia="宋体" w:cs="宋体"/>
          <w:color w:val="000000"/>
          <w:kern w:val="0"/>
          <w:sz w:val="21"/>
          <w:szCs w:val="21"/>
          <w:highlight w:val="none"/>
          <w:lang w:val="en-US" w:eastAsia="zh-CN"/>
        </w:rPr>
        <w:t>；</w:t>
      </w:r>
    </w:p>
    <w:p w14:paraId="73F1BBC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2、项目内容：</w:t>
      </w:r>
    </w:p>
    <w:p w14:paraId="0BADE1D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w:t>
      </w:r>
      <w:r>
        <w:rPr>
          <w:rFonts w:hint="eastAsia" w:ascii="宋体" w:hAnsi="宋体" w:eastAsia="宋体" w:cs="宋体"/>
          <w:color w:val="000000"/>
          <w:kern w:val="0"/>
          <w:sz w:val="21"/>
          <w:szCs w:val="21"/>
          <w:highlight w:val="none"/>
          <w:lang w:val="en-US" w:eastAsia="zh-CN"/>
        </w:rPr>
        <w:t>开展预审分类号评价研究。建立多维度分类号评价指标体系，涵盖专利布局活跃度、专利技术保护度和专利市场运营度；构建新一代信息技术和新能源产业专利数据库，包含申请、授权、有效、法律及转化运用等数据；开展专利数据统计，依据评价结果调整已有预审分类号。</w:t>
      </w:r>
    </w:p>
    <w:p w14:paraId="6BF520D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（2）</w:t>
      </w:r>
      <w:r>
        <w:rPr>
          <w:rFonts w:hint="eastAsia" w:ascii="宋体" w:hAnsi="宋体" w:eastAsia="宋体" w:cs="宋体"/>
          <w:color w:val="000000"/>
          <w:kern w:val="0"/>
          <w:sz w:val="21"/>
          <w:szCs w:val="21"/>
          <w:highlight w:val="none"/>
          <w:lang w:val="en-US" w:eastAsia="zh-CN"/>
        </w:rPr>
        <w:t>进行分类号优化研究。调研产业最新发展政策与技术趋势，明确产业和技术范围；完成新增分类号初步筛查；对初步新增分类号开展专利数据统计与评价，优化完善预审分类号。</w:t>
      </w:r>
    </w:p>
    <w:p w14:paraId="4A8EA80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形成陕西省知识产权保护中心两大领域的专利预审服务分类号优化研究报告。</w:t>
      </w:r>
    </w:p>
    <w:p w14:paraId="00FBA8F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（4）</w:t>
      </w:r>
      <w:r>
        <w:rPr>
          <w:rFonts w:hint="eastAsia" w:ascii="宋体" w:hAnsi="宋体" w:eastAsia="宋体" w:cs="宋体"/>
          <w:color w:val="000000"/>
          <w:kern w:val="0"/>
          <w:sz w:val="21"/>
          <w:szCs w:val="21"/>
          <w:highlight w:val="none"/>
          <w:lang w:val="en-US" w:eastAsia="zh-CN"/>
        </w:rPr>
        <w:t>预期成果</w:t>
      </w:r>
    </w:p>
    <w:p w14:paraId="5E23536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①</w:t>
      </w:r>
      <w:r>
        <w:rPr>
          <w:rFonts w:hint="eastAsia" w:ascii="宋体" w:hAnsi="宋体" w:eastAsia="宋体" w:cs="宋体"/>
          <w:color w:val="000000"/>
          <w:kern w:val="0"/>
          <w:sz w:val="21"/>
          <w:szCs w:val="21"/>
          <w:highlight w:val="none"/>
          <w:lang w:val="en-US" w:eastAsia="zh-CN"/>
        </w:rPr>
        <w:t>《陕西省新一代信息技术产业专利预审服务分类号优化研究报告》</w:t>
      </w:r>
    </w:p>
    <w:p w14:paraId="4FC0CB2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②</w:t>
      </w:r>
      <w:r>
        <w:rPr>
          <w:rFonts w:hint="eastAsia" w:ascii="宋体" w:hAnsi="宋体" w:eastAsia="宋体" w:cs="宋体"/>
          <w:color w:val="000000"/>
          <w:kern w:val="0"/>
          <w:sz w:val="21"/>
          <w:szCs w:val="21"/>
          <w:highlight w:val="none"/>
          <w:lang w:val="en-US" w:eastAsia="zh-CN"/>
        </w:rPr>
        <w:t>《陕西省新能源产业专利预审服务分类号优化研究报告》</w:t>
      </w:r>
    </w:p>
    <w:p w14:paraId="7CE6483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3、项目地点：</w:t>
      </w:r>
      <w:r>
        <w:rPr>
          <w:rFonts w:hint="eastAsia" w:ascii="宋体" w:hAnsi="宋体" w:cs="宋体"/>
          <w:color w:val="000000"/>
          <w:kern w:val="0"/>
          <w:sz w:val="21"/>
          <w:szCs w:val="21"/>
          <w:highlight w:val="none"/>
          <w:u w:val="single"/>
          <w:lang w:val="en-US" w:eastAsia="zh-CN"/>
        </w:rPr>
        <w:t xml:space="preserve">     采购人指定地点          </w:t>
      </w:r>
      <w:r>
        <w:rPr>
          <w:rFonts w:hint="eastAsia" w:ascii="宋体" w:hAnsi="宋体" w:eastAsia="宋体" w:cs="宋体"/>
          <w:color w:val="000000"/>
          <w:kern w:val="0"/>
          <w:sz w:val="21"/>
          <w:szCs w:val="21"/>
          <w:highlight w:val="none"/>
          <w:lang w:val="en-US" w:eastAsia="zh-CN"/>
        </w:rPr>
        <w:t>；</w:t>
      </w:r>
    </w:p>
    <w:p w14:paraId="02137B7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4、服务期限：</w:t>
      </w:r>
      <w:r>
        <w:rPr>
          <w:rFonts w:hint="eastAsia" w:ascii="宋体" w:hAnsi="宋体" w:eastAsia="宋体" w:cs="宋体"/>
          <w:color w:val="000000"/>
          <w:kern w:val="0"/>
          <w:sz w:val="21"/>
          <w:szCs w:val="21"/>
          <w:highlight w:val="none"/>
          <w:u w:val="single"/>
          <w:lang w:val="en-US" w:eastAsia="zh-CN"/>
        </w:rPr>
        <w:t>合同签订后至2025年6月底之前（国家局申报分类号的期限之前）。</w:t>
      </w:r>
    </w:p>
    <w:p w14:paraId="6E94E715">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eastAsia="宋体" w:cs="宋体"/>
          <w:b/>
          <w:color w:val="000000"/>
          <w:kern w:val="0"/>
          <w:sz w:val="21"/>
          <w:szCs w:val="21"/>
          <w:highlight w:val="none"/>
          <w:lang w:val="en-US" w:eastAsia="zh-CN"/>
        </w:rPr>
      </w:pPr>
      <w:bookmarkStart w:id="17" w:name="_Toc32760"/>
      <w:bookmarkStart w:id="18" w:name="_Toc2368"/>
      <w:r>
        <w:rPr>
          <w:rFonts w:hint="eastAsia" w:ascii="宋体" w:hAnsi="宋体" w:cs="宋体"/>
          <w:b/>
          <w:color w:val="000000"/>
          <w:kern w:val="0"/>
          <w:sz w:val="21"/>
          <w:szCs w:val="21"/>
          <w:highlight w:val="none"/>
          <w:lang w:val="en-US" w:eastAsia="zh-CN"/>
        </w:rPr>
        <w:t>二</w:t>
      </w:r>
      <w:r>
        <w:rPr>
          <w:rFonts w:hint="eastAsia" w:ascii="宋体" w:hAnsi="宋体" w:eastAsia="宋体" w:cs="宋体"/>
          <w:b/>
          <w:color w:val="000000"/>
          <w:kern w:val="0"/>
          <w:sz w:val="21"/>
          <w:szCs w:val="21"/>
          <w:highlight w:val="none"/>
          <w:lang w:val="en-US" w:eastAsia="zh-CN"/>
        </w:rPr>
        <w:t>.合同组成部分：</w:t>
      </w:r>
      <w:bookmarkEnd w:id="17"/>
      <w:bookmarkEnd w:id="18"/>
    </w:p>
    <w:p w14:paraId="5331690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（1）合同文本及合同补充文件（条款）；</w:t>
      </w:r>
    </w:p>
    <w:p w14:paraId="56B6C21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 xml:space="preserve">（2）国家和行业制定的相应的标准和规范； </w:t>
      </w:r>
      <w:bookmarkStart w:id="33" w:name="_GoBack"/>
      <w:bookmarkEnd w:id="33"/>
    </w:p>
    <w:p w14:paraId="7D1213F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（3）磋商文件；</w:t>
      </w:r>
    </w:p>
    <w:p w14:paraId="19F5E4B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（4）成交单位的响应文件；</w:t>
      </w:r>
    </w:p>
    <w:p w14:paraId="1B686B4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（5）货物/服务清单等其他相关附件。</w:t>
      </w:r>
    </w:p>
    <w:p w14:paraId="67C448D7">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cs="宋体"/>
          <w:b/>
          <w:color w:val="000000"/>
          <w:kern w:val="0"/>
          <w:sz w:val="21"/>
          <w:szCs w:val="21"/>
          <w:highlight w:val="none"/>
          <w:lang w:val="en-US" w:eastAsia="zh-CN"/>
        </w:rPr>
      </w:pPr>
      <w:bookmarkStart w:id="19" w:name="_Toc14579"/>
      <w:bookmarkStart w:id="20" w:name="_Toc2258"/>
      <w:r>
        <w:rPr>
          <w:rFonts w:hint="eastAsia" w:ascii="宋体" w:hAnsi="宋体" w:cs="宋体"/>
          <w:b/>
          <w:color w:val="000000"/>
          <w:kern w:val="0"/>
          <w:sz w:val="21"/>
          <w:szCs w:val="21"/>
          <w:highlight w:val="none"/>
          <w:lang w:val="en-US" w:eastAsia="zh-CN"/>
        </w:rPr>
        <w:t>三、合同总价及付款：</w:t>
      </w:r>
    </w:p>
    <w:p w14:paraId="2964C96C">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1、合同总价（大写）：______________________（¥___________）；</w:t>
      </w:r>
    </w:p>
    <w:p w14:paraId="6F5A8FA4">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合同总价即成交价</w:t>
      </w:r>
      <w:r>
        <w:rPr>
          <w:rFonts w:hint="eastAsia" w:ascii="宋体" w:hAnsi="宋体" w:eastAsia="宋体" w:cs="宋体"/>
          <w:kern w:val="0"/>
          <w:sz w:val="21"/>
          <w:szCs w:val="21"/>
          <w:shd w:val="clear" w:color="auto" w:fill="FFFFFF"/>
          <w:lang w:eastAsia="zh-CN"/>
        </w:rPr>
        <w:t>。</w:t>
      </w:r>
      <w:r>
        <w:rPr>
          <w:rFonts w:hint="eastAsia" w:ascii="宋体" w:hAnsi="宋体" w:eastAsia="宋体" w:cs="宋体"/>
          <w:kern w:val="0"/>
          <w:sz w:val="21"/>
          <w:szCs w:val="21"/>
          <w:shd w:val="clear" w:color="auto" w:fill="FFFFFF"/>
        </w:rPr>
        <w:t>本条约定的费用为本项目全部价款，除此之外，甲方无需再向乙方支付任何费用，如产生其他费用均由乙方自行承担。合同价格为含税价，供应商提供服务发生的一切税（包括增值税）费等都已包含于合同价款中。</w:t>
      </w:r>
    </w:p>
    <w:p w14:paraId="2FAE5DC3">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附分项清单</w:t>
      </w:r>
      <w:r>
        <w:rPr>
          <w:rFonts w:hint="eastAsia" w:ascii="宋体" w:hAnsi="宋体" w:eastAsia="宋体" w:cs="宋体"/>
          <w:kern w:val="0"/>
          <w:sz w:val="21"/>
          <w:szCs w:val="21"/>
          <w:shd w:val="clear" w:color="auto" w:fill="FFFFFF"/>
          <w:lang w:eastAsia="zh-CN"/>
        </w:rPr>
        <w:t>（</w:t>
      </w:r>
      <w:r>
        <w:rPr>
          <w:rFonts w:hint="eastAsia" w:ascii="宋体" w:hAnsi="宋体" w:eastAsia="宋体" w:cs="宋体"/>
          <w:kern w:val="0"/>
          <w:sz w:val="21"/>
          <w:szCs w:val="21"/>
          <w:shd w:val="clear" w:color="auto" w:fill="FFFFFF"/>
          <w:lang w:val="en-US" w:eastAsia="zh-CN"/>
        </w:rPr>
        <w:t>如有</w:t>
      </w:r>
      <w:r>
        <w:rPr>
          <w:rFonts w:hint="eastAsia" w:ascii="宋体" w:hAnsi="宋体" w:eastAsia="宋体" w:cs="宋体"/>
          <w:kern w:val="0"/>
          <w:sz w:val="21"/>
          <w:szCs w:val="21"/>
          <w:shd w:val="clear" w:color="auto" w:fill="FFFFFF"/>
          <w:lang w:eastAsia="zh-CN"/>
        </w:rPr>
        <w:t>）</w:t>
      </w:r>
      <w:r>
        <w:rPr>
          <w:rFonts w:hint="eastAsia" w:ascii="宋体" w:hAnsi="宋体" w:eastAsia="宋体" w:cs="宋体"/>
          <w:kern w:val="0"/>
          <w:sz w:val="21"/>
          <w:szCs w:val="21"/>
          <w:shd w:val="clear" w:color="auto" w:fill="FFFFFF"/>
        </w:rPr>
        <w:t>：</w:t>
      </w:r>
    </w:p>
    <w:tbl>
      <w:tblPr>
        <w:tblStyle w:val="6"/>
        <w:tblpPr w:leftFromText="180" w:rightFromText="180" w:vertAnchor="text" w:tblpXSpec="center" w:tblpY="1"/>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887"/>
        <w:gridCol w:w="717"/>
        <w:gridCol w:w="2667"/>
        <w:gridCol w:w="714"/>
        <w:gridCol w:w="714"/>
        <w:gridCol w:w="2074"/>
      </w:tblGrid>
      <w:tr w14:paraId="7F4D8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vAlign w:val="center"/>
          </w:tcPr>
          <w:p w14:paraId="7A917F2E">
            <w:pPr>
              <w:widowControl/>
              <w:wordWrap w:val="0"/>
              <w:spacing w:line="480" w:lineRule="exact"/>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序号</w:t>
            </w:r>
          </w:p>
        </w:tc>
        <w:tc>
          <w:tcPr>
            <w:tcW w:w="960" w:type="pct"/>
            <w:gridSpan w:val="2"/>
            <w:vAlign w:val="center"/>
          </w:tcPr>
          <w:p w14:paraId="7B5C6D14">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名称</w:t>
            </w:r>
          </w:p>
        </w:tc>
        <w:tc>
          <w:tcPr>
            <w:tcW w:w="1574" w:type="pct"/>
            <w:vAlign w:val="center"/>
          </w:tcPr>
          <w:p w14:paraId="772D8967">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6DD8E85D">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131A6B3D">
            <w:pPr>
              <w:widowControl/>
              <w:wordWrap w:val="0"/>
              <w:spacing w:line="480" w:lineRule="exact"/>
              <w:ind w:firstLine="425"/>
              <w:rPr>
                <w:rFonts w:ascii="宋体" w:hAnsi="宋体" w:eastAsia="宋体" w:cs="宋体"/>
                <w:kern w:val="0"/>
                <w:sz w:val="21"/>
                <w:szCs w:val="21"/>
                <w:shd w:val="clear" w:color="auto" w:fill="FFFFFF"/>
              </w:rPr>
            </w:pPr>
          </w:p>
        </w:tc>
        <w:tc>
          <w:tcPr>
            <w:tcW w:w="1223" w:type="pct"/>
            <w:vAlign w:val="center"/>
          </w:tcPr>
          <w:p w14:paraId="1BCDF55D">
            <w:pPr>
              <w:widowControl/>
              <w:wordWrap w:val="0"/>
              <w:spacing w:line="480" w:lineRule="exact"/>
              <w:ind w:firstLine="425"/>
              <w:rPr>
                <w:rFonts w:ascii="宋体" w:hAnsi="宋体" w:eastAsia="宋体" w:cs="宋体"/>
                <w:kern w:val="0"/>
                <w:sz w:val="21"/>
                <w:szCs w:val="21"/>
                <w:shd w:val="clear" w:color="auto" w:fill="FFFFFF"/>
              </w:rPr>
            </w:pPr>
          </w:p>
        </w:tc>
      </w:tr>
      <w:tr w14:paraId="28BD1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vAlign w:val="center"/>
          </w:tcPr>
          <w:p w14:paraId="1DF18295">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1</w:t>
            </w:r>
          </w:p>
        </w:tc>
        <w:tc>
          <w:tcPr>
            <w:tcW w:w="960" w:type="pct"/>
            <w:gridSpan w:val="2"/>
            <w:vAlign w:val="center"/>
          </w:tcPr>
          <w:p w14:paraId="2A212611">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w:t>
            </w:r>
          </w:p>
        </w:tc>
        <w:tc>
          <w:tcPr>
            <w:tcW w:w="1574" w:type="pct"/>
            <w:vAlign w:val="center"/>
          </w:tcPr>
          <w:p w14:paraId="3F09CFF3">
            <w:pPr>
              <w:widowControl/>
              <w:wordWrap w:val="0"/>
              <w:spacing w:line="480" w:lineRule="exact"/>
              <w:ind w:firstLine="425"/>
              <w:rPr>
                <w:rFonts w:ascii="宋体" w:hAnsi="宋体" w:eastAsia="宋体" w:cs="宋体"/>
                <w:kern w:val="0"/>
                <w:sz w:val="21"/>
                <w:szCs w:val="21"/>
                <w:shd w:val="clear" w:color="auto" w:fill="FFFFFF"/>
              </w:rPr>
            </w:pPr>
          </w:p>
        </w:tc>
        <w:tc>
          <w:tcPr>
            <w:tcW w:w="428" w:type="pct"/>
          </w:tcPr>
          <w:p w14:paraId="1FA871A2">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0BA1FFA8">
            <w:pPr>
              <w:widowControl/>
              <w:wordWrap w:val="0"/>
              <w:spacing w:line="480" w:lineRule="exact"/>
              <w:ind w:firstLine="425"/>
              <w:rPr>
                <w:rFonts w:ascii="宋体" w:hAnsi="宋体" w:eastAsia="宋体" w:cs="宋体"/>
                <w:kern w:val="0"/>
                <w:sz w:val="21"/>
                <w:szCs w:val="21"/>
                <w:shd w:val="clear" w:color="auto" w:fill="FFFFFF"/>
              </w:rPr>
            </w:pPr>
          </w:p>
        </w:tc>
        <w:tc>
          <w:tcPr>
            <w:tcW w:w="1223" w:type="pct"/>
            <w:vAlign w:val="center"/>
          </w:tcPr>
          <w:p w14:paraId="1E14EC20">
            <w:pPr>
              <w:widowControl/>
              <w:wordWrap w:val="0"/>
              <w:spacing w:line="480" w:lineRule="exact"/>
              <w:ind w:firstLine="425"/>
              <w:rPr>
                <w:rFonts w:ascii="宋体" w:hAnsi="宋体" w:eastAsia="宋体" w:cs="宋体"/>
                <w:kern w:val="0"/>
                <w:sz w:val="21"/>
                <w:szCs w:val="21"/>
                <w:shd w:val="clear" w:color="auto" w:fill="FFFFFF"/>
              </w:rPr>
            </w:pPr>
          </w:p>
        </w:tc>
      </w:tr>
      <w:tr w14:paraId="0293D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vAlign w:val="center"/>
          </w:tcPr>
          <w:p w14:paraId="100D8E92">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2</w:t>
            </w:r>
          </w:p>
        </w:tc>
        <w:tc>
          <w:tcPr>
            <w:tcW w:w="960" w:type="pct"/>
            <w:gridSpan w:val="2"/>
            <w:vAlign w:val="center"/>
          </w:tcPr>
          <w:p w14:paraId="0C35141F">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w:t>
            </w:r>
          </w:p>
        </w:tc>
        <w:tc>
          <w:tcPr>
            <w:tcW w:w="1574" w:type="pct"/>
            <w:vAlign w:val="center"/>
          </w:tcPr>
          <w:p w14:paraId="333A9E1E">
            <w:pPr>
              <w:widowControl/>
              <w:wordWrap w:val="0"/>
              <w:spacing w:line="480" w:lineRule="exact"/>
              <w:ind w:firstLine="425"/>
              <w:rPr>
                <w:rFonts w:ascii="宋体" w:hAnsi="宋体" w:eastAsia="宋体" w:cs="宋体"/>
                <w:kern w:val="0"/>
                <w:sz w:val="21"/>
                <w:szCs w:val="21"/>
                <w:shd w:val="clear" w:color="auto" w:fill="FFFFFF"/>
              </w:rPr>
            </w:pPr>
          </w:p>
        </w:tc>
        <w:tc>
          <w:tcPr>
            <w:tcW w:w="428" w:type="pct"/>
          </w:tcPr>
          <w:p w14:paraId="4E3ED2C2">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14BE5651">
            <w:pPr>
              <w:widowControl/>
              <w:wordWrap w:val="0"/>
              <w:spacing w:line="480" w:lineRule="exact"/>
              <w:ind w:firstLine="425"/>
              <w:rPr>
                <w:rFonts w:ascii="宋体" w:hAnsi="宋体" w:eastAsia="宋体" w:cs="宋体"/>
                <w:kern w:val="0"/>
                <w:sz w:val="21"/>
                <w:szCs w:val="21"/>
                <w:shd w:val="clear" w:color="auto" w:fill="FFFFFF"/>
              </w:rPr>
            </w:pPr>
          </w:p>
        </w:tc>
        <w:tc>
          <w:tcPr>
            <w:tcW w:w="1223" w:type="pct"/>
            <w:vAlign w:val="center"/>
          </w:tcPr>
          <w:p w14:paraId="18885DC1">
            <w:pPr>
              <w:widowControl/>
              <w:wordWrap w:val="0"/>
              <w:spacing w:line="480" w:lineRule="exact"/>
              <w:ind w:firstLine="425"/>
              <w:rPr>
                <w:rFonts w:ascii="宋体" w:hAnsi="宋体" w:eastAsia="宋体" w:cs="宋体"/>
                <w:kern w:val="0"/>
                <w:sz w:val="21"/>
                <w:szCs w:val="21"/>
                <w:shd w:val="clear" w:color="auto" w:fill="FFFFFF"/>
              </w:rPr>
            </w:pPr>
          </w:p>
        </w:tc>
      </w:tr>
      <w:tr w14:paraId="6D9F8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40" w:hRule="atLeast"/>
        </w:trPr>
        <w:tc>
          <w:tcPr>
            <w:tcW w:w="383" w:type="pct"/>
            <w:vAlign w:val="center"/>
          </w:tcPr>
          <w:p w14:paraId="503B014C">
            <w:pPr>
              <w:widowControl/>
              <w:wordWrap w:val="0"/>
              <w:spacing w:line="480" w:lineRule="exact"/>
              <w:ind w:firstLine="425"/>
              <w:rPr>
                <w:rFonts w:ascii="宋体" w:hAnsi="宋体" w:eastAsia="宋体" w:cs="宋体"/>
                <w:kern w:val="0"/>
                <w:sz w:val="21"/>
                <w:szCs w:val="21"/>
                <w:shd w:val="clear" w:color="auto" w:fill="FFFFFF"/>
              </w:rPr>
            </w:pPr>
          </w:p>
        </w:tc>
        <w:tc>
          <w:tcPr>
            <w:tcW w:w="960" w:type="pct"/>
            <w:gridSpan w:val="2"/>
            <w:vAlign w:val="center"/>
          </w:tcPr>
          <w:p w14:paraId="5AEBE1B7">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w:t>
            </w:r>
          </w:p>
        </w:tc>
        <w:tc>
          <w:tcPr>
            <w:tcW w:w="1574" w:type="pct"/>
            <w:vAlign w:val="center"/>
          </w:tcPr>
          <w:p w14:paraId="47E1EDBC">
            <w:pPr>
              <w:widowControl/>
              <w:wordWrap w:val="0"/>
              <w:spacing w:line="480" w:lineRule="exact"/>
              <w:ind w:firstLine="425"/>
              <w:rPr>
                <w:rFonts w:ascii="宋体" w:hAnsi="宋体" w:eastAsia="宋体" w:cs="宋体"/>
                <w:kern w:val="0"/>
                <w:sz w:val="21"/>
                <w:szCs w:val="21"/>
                <w:shd w:val="clear" w:color="auto" w:fill="FFFFFF"/>
              </w:rPr>
            </w:pPr>
          </w:p>
        </w:tc>
        <w:tc>
          <w:tcPr>
            <w:tcW w:w="428" w:type="pct"/>
          </w:tcPr>
          <w:p w14:paraId="4FE466A4">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381B6857">
            <w:pPr>
              <w:widowControl/>
              <w:wordWrap w:val="0"/>
              <w:spacing w:line="480" w:lineRule="exact"/>
              <w:ind w:firstLine="425"/>
              <w:rPr>
                <w:rFonts w:ascii="宋体" w:hAnsi="宋体" w:eastAsia="宋体" w:cs="宋体"/>
                <w:kern w:val="0"/>
                <w:sz w:val="21"/>
                <w:szCs w:val="21"/>
                <w:shd w:val="clear" w:color="auto" w:fill="FFFFFF"/>
              </w:rPr>
            </w:pPr>
          </w:p>
        </w:tc>
        <w:tc>
          <w:tcPr>
            <w:tcW w:w="1223" w:type="pct"/>
            <w:vAlign w:val="center"/>
          </w:tcPr>
          <w:p w14:paraId="0E10EB2D">
            <w:pPr>
              <w:widowControl/>
              <w:wordWrap w:val="0"/>
              <w:spacing w:line="480" w:lineRule="exact"/>
              <w:ind w:firstLine="425"/>
              <w:rPr>
                <w:rFonts w:ascii="宋体" w:hAnsi="宋体" w:eastAsia="宋体" w:cs="宋体"/>
                <w:kern w:val="0"/>
                <w:sz w:val="21"/>
                <w:szCs w:val="21"/>
                <w:shd w:val="clear" w:color="auto" w:fill="FFFFFF"/>
              </w:rPr>
            </w:pPr>
          </w:p>
        </w:tc>
      </w:tr>
      <w:tr w14:paraId="21B80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13" w:type="pct"/>
            <w:gridSpan w:val="2"/>
            <w:vAlign w:val="center"/>
          </w:tcPr>
          <w:p w14:paraId="3576FCBA">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合计</w:t>
            </w:r>
          </w:p>
        </w:tc>
        <w:tc>
          <w:tcPr>
            <w:tcW w:w="4086" w:type="pct"/>
            <w:gridSpan w:val="5"/>
            <w:vAlign w:val="center"/>
          </w:tcPr>
          <w:p w14:paraId="7DFA80D0">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大写：                                        小写：</w:t>
            </w:r>
          </w:p>
        </w:tc>
      </w:tr>
      <w:tr w14:paraId="3BA5A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13" w:type="pct"/>
            <w:gridSpan w:val="2"/>
            <w:vAlign w:val="center"/>
          </w:tcPr>
          <w:p w14:paraId="294D17BA">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备注</w:t>
            </w:r>
          </w:p>
        </w:tc>
        <w:tc>
          <w:tcPr>
            <w:tcW w:w="4086" w:type="pct"/>
            <w:gridSpan w:val="5"/>
            <w:vAlign w:val="center"/>
          </w:tcPr>
          <w:p w14:paraId="389152D3">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保留小数点后两位。</w:t>
            </w:r>
          </w:p>
        </w:tc>
      </w:tr>
    </w:tbl>
    <w:p w14:paraId="69A441E4">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2、付款方式：①合同签订后支付总价款的80%，所有工作完成并验收合格支付合同总价款20%。</w:t>
      </w:r>
    </w:p>
    <w:p w14:paraId="58DBB658">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 xml:space="preserve">②供应商应根据采购人需要提供等额正规发票给采购人； </w:t>
      </w:r>
    </w:p>
    <w:p w14:paraId="5BF17088">
      <w:pPr>
        <w:keepNext w:val="0"/>
        <w:keepLines w:val="0"/>
        <w:pageBreakBefore w:val="0"/>
        <w:widowControl w:val="0"/>
        <w:shd w:val="clear"/>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③如因供应商责任而造成延期，每超过一天按合同总价款的0.1‰支付采购人误期赔偿金；</w:t>
      </w:r>
    </w:p>
    <w:p w14:paraId="1E88CBD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④支付方式：银行转账。</w:t>
      </w:r>
    </w:p>
    <w:p w14:paraId="1A8AF22D">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cs="宋体"/>
          <w:b/>
          <w:color w:val="000000"/>
          <w:kern w:val="0"/>
          <w:sz w:val="21"/>
          <w:szCs w:val="21"/>
          <w:highlight w:val="none"/>
          <w:lang w:val="en-US" w:eastAsia="zh-CN"/>
        </w:rPr>
      </w:pPr>
      <w:r>
        <w:rPr>
          <w:rFonts w:hint="eastAsia" w:ascii="宋体" w:hAnsi="宋体" w:cs="宋体"/>
          <w:b/>
          <w:color w:val="000000"/>
          <w:kern w:val="0"/>
          <w:sz w:val="21"/>
          <w:szCs w:val="21"/>
          <w:highlight w:val="none"/>
          <w:lang w:val="en-US" w:eastAsia="zh-CN"/>
        </w:rPr>
        <w:t>四、服务要求</w:t>
      </w:r>
    </w:p>
    <w:p w14:paraId="564276D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交付的服务内容与响应文件、竞争性磋商文件等所指明的，或者与本合同所指明的服务内容相一致。</w:t>
      </w:r>
    </w:p>
    <w:p w14:paraId="4CDC045F">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cs="宋体"/>
          <w:b/>
          <w:color w:val="000000"/>
          <w:kern w:val="0"/>
          <w:sz w:val="21"/>
          <w:szCs w:val="21"/>
          <w:highlight w:val="none"/>
          <w:lang w:val="en-US" w:eastAsia="zh-CN"/>
        </w:rPr>
      </w:pPr>
      <w:r>
        <w:rPr>
          <w:rFonts w:hint="eastAsia" w:ascii="宋体" w:hAnsi="宋体" w:cs="宋体"/>
          <w:b/>
          <w:color w:val="000000"/>
          <w:kern w:val="0"/>
          <w:sz w:val="21"/>
          <w:szCs w:val="21"/>
          <w:highlight w:val="none"/>
          <w:lang w:val="en-US" w:eastAsia="zh-CN"/>
        </w:rPr>
        <w:t>五、质量保证</w:t>
      </w:r>
    </w:p>
    <w:p w14:paraId="017A28F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质量标准：符合国家相关标准及采购人要求。</w:t>
      </w:r>
    </w:p>
    <w:p w14:paraId="681D02A5">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eastAsia="宋体" w:cs="宋体"/>
          <w:b/>
          <w:color w:val="000000"/>
          <w:kern w:val="0"/>
          <w:sz w:val="21"/>
          <w:szCs w:val="21"/>
          <w:highlight w:val="none"/>
        </w:rPr>
      </w:pPr>
      <w:r>
        <w:rPr>
          <w:rFonts w:hint="eastAsia" w:ascii="宋体" w:hAnsi="宋体" w:cs="宋体"/>
          <w:b/>
          <w:color w:val="000000"/>
          <w:kern w:val="0"/>
          <w:sz w:val="21"/>
          <w:szCs w:val="21"/>
          <w:highlight w:val="none"/>
          <w:lang w:val="en-US" w:eastAsia="zh-CN"/>
        </w:rPr>
        <w:t>六、</w:t>
      </w:r>
      <w:r>
        <w:rPr>
          <w:rFonts w:hint="eastAsia" w:ascii="宋体" w:hAnsi="宋体" w:eastAsia="宋体" w:cs="宋体"/>
          <w:b/>
          <w:color w:val="000000"/>
          <w:kern w:val="0"/>
          <w:sz w:val="21"/>
          <w:szCs w:val="21"/>
          <w:highlight w:val="none"/>
        </w:rPr>
        <w:t>双方权利和义务</w:t>
      </w:r>
      <w:bookmarkEnd w:id="19"/>
      <w:bookmarkEnd w:id="20"/>
      <w:r>
        <w:rPr>
          <w:rFonts w:hint="eastAsia" w:ascii="宋体" w:hAnsi="宋体" w:eastAsia="宋体" w:cs="宋体"/>
          <w:b/>
          <w:color w:val="000000"/>
          <w:kern w:val="0"/>
          <w:sz w:val="21"/>
          <w:szCs w:val="21"/>
          <w:highlight w:val="none"/>
        </w:rPr>
        <w:tab/>
      </w:r>
    </w:p>
    <w:p w14:paraId="78EAD1FE">
      <w:pPr>
        <w:keepNext w:val="0"/>
        <w:keepLines w:val="0"/>
        <w:pageBreakBefore w:val="0"/>
        <w:widowControl w:val="0"/>
        <w:tabs>
          <w:tab w:val="left" w:pos="5865"/>
        </w:tabs>
        <w:kinsoku/>
        <w:wordWrap/>
        <w:overflowPunct/>
        <w:topLinePunct w:val="0"/>
        <w:bidi w:val="0"/>
        <w:spacing w:line="360" w:lineRule="auto"/>
        <w:ind w:firstLine="420" w:firstLineChars="200"/>
        <w:textAlignment w:val="auto"/>
        <w:rPr>
          <w:rFonts w:hint="eastAsia" w:ascii="宋体" w:hAnsi="宋体" w:eastAsia="宋体" w:cs="宋体"/>
          <w:b/>
          <w:color w:val="000000"/>
          <w:kern w:val="0"/>
          <w:sz w:val="21"/>
          <w:szCs w:val="21"/>
          <w:highlight w:val="none"/>
        </w:rPr>
      </w:pPr>
      <w:r>
        <w:rPr>
          <w:rFonts w:hint="eastAsia" w:ascii="宋体" w:hAnsi="宋体" w:cs="宋体"/>
          <w:color w:val="000000"/>
          <w:kern w:val="0"/>
          <w:sz w:val="21"/>
          <w:szCs w:val="21"/>
          <w:highlight w:val="none"/>
          <w:lang w:val="en-US" w:eastAsia="zh-CN"/>
        </w:rPr>
        <w:t>6</w:t>
      </w:r>
      <w:r>
        <w:rPr>
          <w:rFonts w:hint="eastAsia" w:ascii="宋体" w:hAnsi="宋体" w:eastAsia="宋体" w:cs="宋体"/>
          <w:color w:val="000000"/>
          <w:kern w:val="0"/>
          <w:sz w:val="21"/>
          <w:szCs w:val="21"/>
          <w:highlight w:val="none"/>
        </w:rPr>
        <w:t>.1</w:t>
      </w:r>
      <w:r>
        <w:rPr>
          <w:rFonts w:hint="eastAsia" w:ascii="宋体" w:hAnsi="宋体" w:eastAsia="宋体" w:cs="宋体"/>
          <w:b/>
          <w:color w:val="000000"/>
          <w:kern w:val="0"/>
          <w:sz w:val="21"/>
          <w:szCs w:val="21"/>
          <w:highlight w:val="none"/>
        </w:rPr>
        <w:t>甲方权利与义务：</w:t>
      </w:r>
    </w:p>
    <w:p w14:paraId="3D56BEC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6.1.1</w:t>
      </w:r>
      <w:r>
        <w:rPr>
          <w:rFonts w:hint="eastAsia" w:ascii="宋体" w:hAnsi="宋体" w:eastAsia="宋体" w:cs="宋体"/>
          <w:color w:val="000000"/>
          <w:kern w:val="0"/>
          <w:sz w:val="21"/>
          <w:szCs w:val="21"/>
          <w:highlight w:val="none"/>
          <w:lang w:val="en-US" w:eastAsia="zh-CN"/>
        </w:rPr>
        <w:t>甲方有权对合同规定范围内乙方的服务行为进行监督和检查，拥有监管权。有权定期核对乙方提供服务所配备的人员数量。对甲方认为不合理的部分有权下达整改通知书，并要求乙方限期整改。</w:t>
      </w:r>
    </w:p>
    <w:p w14:paraId="3FA8E30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6.1.2</w:t>
      </w:r>
      <w:r>
        <w:rPr>
          <w:rFonts w:hint="eastAsia" w:ascii="宋体" w:hAnsi="宋体" w:eastAsia="宋体" w:cs="宋体"/>
          <w:color w:val="000000"/>
          <w:kern w:val="0"/>
          <w:sz w:val="21"/>
          <w:szCs w:val="21"/>
          <w:highlight w:val="none"/>
          <w:lang w:val="en-US" w:eastAsia="zh-CN"/>
        </w:rPr>
        <w:t>甲方有权对乙方提供的服务进行定期考评。当考评结果未达到标准时，甲方有权要求乙方做出整改；若乙方整改依旧无法通过考评，则甲方有权要求赔偿。</w:t>
      </w:r>
    </w:p>
    <w:p w14:paraId="5BA796E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6.1.3</w:t>
      </w:r>
      <w:r>
        <w:rPr>
          <w:rFonts w:hint="eastAsia" w:ascii="宋体" w:hAnsi="宋体" w:eastAsia="宋体" w:cs="宋体"/>
          <w:color w:val="000000"/>
          <w:kern w:val="0"/>
          <w:sz w:val="21"/>
          <w:szCs w:val="21"/>
          <w:highlight w:val="none"/>
          <w:lang w:val="en-US" w:eastAsia="zh-CN"/>
        </w:rPr>
        <w:t>负责检查监督乙方管理工作的实施及制度的执行情况。</w:t>
      </w:r>
    </w:p>
    <w:p w14:paraId="29660F7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6.1.4</w:t>
      </w:r>
      <w:r>
        <w:rPr>
          <w:rFonts w:hint="eastAsia" w:ascii="宋体" w:hAnsi="宋体" w:eastAsia="宋体" w:cs="宋体"/>
          <w:color w:val="000000"/>
          <w:kern w:val="0"/>
          <w:sz w:val="21"/>
          <w:szCs w:val="21"/>
          <w:highlight w:val="none"/>
          <w:lang w:val="en-US" w:eastAsia="zh-CN"/>
        </w:rPr>
        <w:t>根据本合同规定，按时向乙方支付应付服务费用。</w:t>
      </w:r>
    </w:p>
    <w:p w14:paraId="2626B31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6.1.5</w:t>
      </w:r>
      <w:r>
        <w:rPr>
          <w:rFonts w:hint="eastAsia" w:ascii="宋体" w:hAnsi="宋体" w:eastAsia="宋体" w:cs="宋体"/>
          <w:color w:val="000000"/>
          <w:kern w:val="0"/>
          <w:sz w:val="21"/>
          <w:szCs w:val="21"/>
          <w:highlight w:val="none"/>
          <w:lang w:val="en-US" w:eastAsia="zh-CN"/>
        </w:rPr>
        <w:t>甲方应及时向乙方提供相关资料，协助乙方办理有关事宜。</w:t>
      </w:r>
    </w:p>
    <w:p w14:paraId="2227B06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6.1.6</w:t>
      </w:r>
      <w:r>
        <w:rPr>
          <w:rFonts w:hint="eastAsia" w:ascii="宋体" w:hAnsi="宋体" w:eastAsia="宋体" w:cs="宋体"/>
          <w:color w:val="000000"/>
          <w:kern w:val="0"/>
          <w:sz w:val="21"/>
          <w:szCs w:val="21"/>
          <w:highlight w:val="none"/>
          <w:lang w:val="en-US" w:eastAsia="zh-CN"/>
        </w:rPr>
        <w:t>对合同条款及所知悉的乙方商业秘密负有保密义务。</w:t>
      </w:r>
    </w:p>
    <w:p w14:paraId="0A1AF61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6.1.7</w:t>
      </w:r>
      <w:r>
        <w:rPr>
          <w:rFonts w:hint="eastAsia" w:ascii="宋体" w:hAnsi="宋体" w:eastAsia="宋体" w:cs="宋体"/>
          <w:color w:val="000000"/>
          <w:kern w:val="0"/>
          <w:sz w:val="21"/>
          <w:szCs w:val="21"/>
          <w:highlight w:val="none"/>
          <w:lang w:val="en-US" w:eastAsia="zh-CN"/>
        </w:rPr>
        <w:t>国家法律、法规所规定由甲方承担的其它责任。。</w:t>
      </w:r>
    </w:p>
    <w:p w14:paraId="620F2A28">
      <w:pPr>
        <w:keepNext w:val="0"/>
        <w:keepLines w:val="0"/>
        <w:pageBreakBefore w:val="0"/>
        <w:widowControl w:val="0"/>
        <w:kinsoku/>
        <w:wordWrap/>
        <w:overflowPunct/>
        <w:topLinePunct w:val="0"/>
        <w:bidi w:val="0"/>
        <w:spacing w:line="360" w:lineRule="auto"/>
        <w:ind w:firstLine="422" w:firstLineChars="200"/>
        <w:textAlignment w:val="auto"/>
        <w:rPr>
          <w:rFonts w:hint="eastAsia" w:ascii="宋体" w:hAnsi="宋体" w:eastAsia="宋体" w:cs="宋体"/>
          <w:b/>
          <w:color w:val="000000"/>
          <w:kern w:val="0"/>
          <w:sz w:val="21"/>
          <w:szCs w:val="21"/>
          <w:highlight w:val="none"/>
        </w:rPr>
      </w:pPr>
      <w:r>
        <w:rPr>
          <w:rFonts w:hint="eastAsia" w:ascii="宋体" w:hAnsi="宋体" w:cs="宋体"/>
          <w:b/>
          <w:color w:val="000000"/>
          <w:kern w:val="0"/>
          <w:sz w:val="21"/>
          <w:szCs w:val="21"/>
          <w:highlight w:val="none"/>
          <w:lang w:val="en-US" w:eastAsia="zh-CN"/>
        </w:rPr>
        <w:t>6</w:t>
      </w:r>
      <w:r>
        <w:rPr>
          <w:rFonts w:hint="eastAsia" w:ascii="宋体" w:hAnsi="宋体" w:eastAsia="宋体" w:cs="宋体"/>
          <w:b/>
          <w:color w:val="000000"/>
          <w:kern w:val="0"/>
          <w:sz w:val="21"/>
          <w:szCs w:val="21"/>
          <w:highlight w:val="none"/>
        </w:rPr>
        <w:t>.2 乙方权利与义务：</w:t>
      </w:r>
    </w:p>
    <w:p w14:paraId="047359E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6.2.1</w:t>
      </w:r>
      <w:r>
        <w:rPr>
          <w:rFonts w:hint="eastAsia" w:ascii="宋体" w:hAnsi="宋体" w:eastAsia="宋体" w:cs="宋体"/>
          <w:color w:val="000000"/>
          <w:kern w:val="0"/>
          <w:sz w:val="21"/>
          <w:szCs w:val="21"/>
          <w:highlight w:val="none"/>
          <w:lang w:val="en-US" w:eastAsia="zh-CN"/>
        </w:rPr>
        <w:t>对本合同规定的委托服务范围内的项目享有管理权及服务义务。</w:t>
      </w:r>
    </w:p>
    <w:p w14:paraId="1B76707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6.2.2</w:t>
      </w:r>
      <w:r>
        <w:rPr>
          <w:rFonts w:hint="eastAsia" w:ascii="宋体" w:hAnsi="宋体" w:eastAsia="宋体" w:cs="宋体"/>
          <w:color w:val="000000"/>
          <w:kern w:val="0"/>
          <w:sz w:val="21"/>
          <w:szCs w:val="21"/>
          <w:highlight w:val="none"/>
          <w:lang w:val="en-US" w:eastAsia="zh-CN"/>
        </w:rPr>
        <w:t>根据本合同的规定向甲方收取相关服务费用，并有权在本项目管理范围内管理及合理使用。</w:t>
      </w:r>
    </w:p>
    <w:p w14:paraId="521779B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6.2.3</w:t>
      </w:r>
      <w:r>
        <w:rPr>
          <w:rFonts w:hint="eastAsia" w:ascii="宋体" w:hAnsi="宋体" w:eastAsia="宋体" w:cs="宋体"/>
          <w:color w:val="000000"/>
          <w:kern w:val="0"/>
          <w:sz w:val="21"/>
          <w:szCs w:val="21"/>
          <w:highlight w:val="none"/>
          <w:lang w:val="en-US" w:eastAsia="zh-CN"/>
        </w:rPr>
        <w:t>及时向甲方通告本项目服务范围内有关服务的重大事项，及时配合处理。</w:t>
      </w:r>
    </w:p>
    <w:p w14:paraId="50B6CA2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6.2.4</w:t>
      </w:r>
      <w:r>
        <w:rPr>
          <w:rFonts w:hint="eastAsia" w:ascii="宋体" w:hAnsi="宋体" w:eastAsia="宋体" w:cs="宋体"/>
          <w:color w:val="000000"/>
          <w:kern w:val="0"/>
          <w:sz w:val="21"/>
          <w:szCs w:val="21"/>
          <w:highlight w:val="none"/>
          <w:lang w:val="en-US" w:eastAsia="zh-CN"/>
        </w:rPr>
        <w:t>乙方应保护甲方提供的相关资料。未经甲方同意不得擅自修改、复制或向第三人转让或用于本合同外的项目，如发生以上情况，乙方应负法律责任，甲方有权向乙方提出索赔。</w:t>
      </w:r>
    </w:p>
    <w:p w14:paraId="2578F01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6.2.5</w:t>
      </w:r>
      <w:r>
        <w:rPr>
          <w:rFonts w:hint="eastAsia" w:ascii="宋体" w:hAnsi="宋体" w:eastAsia="宋体" w:cs="宋体"/>
          <w:color w:val="000000"/>
          <w:kern w:val="0"/>
          <w:sz w:val="21"/>
          <w:szCs w:val="21"/>
          <w:highlight w:val="none"/>
          <w:lang w:val="en-US" w:eastAsia="zh-CN"/>
        </w:rPr>
        <w:t>乙方在中途需更换所指派的项目负责人，应事先征得甲方同意。</w:t>
      </w:r>
    </w:p>
    <w:p w14:paraId="7B19EDB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6.2.6</w:t>
      </w:r>
      <w:r>
        <w:rPr>
          <w:rFonts w:hint="eastAsia" w:ascii="宋体" w:hAnsi="宋体" w:eastAsia="宋体" w:cs="宋体"/>
          <w:color w:val="000000"/>
          <w:kern w:val="0"/>
          <w:sz w:val="21"/>
          <w:szCs w:val="21"/>
          <w:highlight w:val="none"/>
          <w:lang w:val="en-US" w:eastAsia="zh-CN"/>
        </w:rPr>
        <w:t>接受项目行业管理部门及政府有关部门的指导，接受甲方的监督。</w:t>
      </w:r>
    </w:p>
    <w:p w14:paraId="0ED4CFC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6.2.7</w:t>
      </w:r>
      <w:r>
        <w:rPr>
          <w:rFonts w:hint="eastAsia" w:ascii="宋体" w:hAnsi="宋体" w:eastAsia="宋体" w:cs="宋体"/>
          <w:color w:val="000000"/>
          <w:kern w:val="0"/>
          <w:sz w:val="21"/>
          <w:szCs w:val="21"/>
          <w:highlight w:val="none"/>
          <w:lang w:val="en-US" w:eastAsia="zh-CN"/>
        </w:rPr>
        <w:t>国家法律、法规所规定由乙方承担的其它责任。</w:t>
      </w:r>
    </w:p>
    <w:p w14:paraId="23E48087">
      <w:pPr>
        <w:keepNext w:val="0"/>
        <w:keepLines w:val="0"/>
        <w:pageBreakBefore w:val="0"/>
        <w:widowControl w:val="0"/>
        <w:numPr>
          <w:ilvl w:val="0"/>
          <w:numId w:val="0"/>
        </w:numPr>
        <w:kinsoku/>
        <w:wordWrap/>
        <w:overflowPunct/>
        <w:topLinePunct w:val="0"/>
        <w:bidi w:val="0"/>
        <w:snapToGrid w:val="0"/>
        <w:spacing w:line="360" w:lineRule="auto"/>
        <w:ind w:firstLine="422" w:firstLineChars="200"/>
        <w:textAlignment w:val="auto"/>
        <w:rPr>
          <w:rFonts w:hint="eastAsia" w:ascii="宋体" w:hAnsi="宋体" w:cs="宋体"/>
          <w:b/>
          <w:bCs/>
          <w:color w:val="000000"/>
          <w:kern w:val="0"/>
          <w:sz w:val="21"/>
          <w:szCs w:val="21"/>
          <w:highlight w:val="none"/>
          <w:lang w:val="en-US" w:eastAsia="zh-CN"/>
        </w:rPr>
      </w:pPr>
      <w:bookmarkStart w:id="21" w:name="_Toc23438"/>
      <w:bookmarkStart w:id="22" w:name="_Toc4212"/>
      <w:r>
        <w:rPr>
          <w:rFonts w:hint="eastAsia" w:ascii="宋体" w:hAnsi="宋体" w:cs="宋体"/>
          <w:b/>
          <w:bCs/>
          <w:color w:val="000000"/>
          <w:kern w:val="0"/>
          <w:sz w:val="21"/>
          <w:szCs w:val="21"/>
          <w:highlight w:val="none"/>
          <w:lang w:val="en-US" w:eastAsia="zh-CN"/>
        </w:rPr>
        <w:t>7.验收</w:t>
      </w:r>
    </w:p>
    <w:p w14:paraId="11DB0CD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7.1</w:t>
      </w:r>
      <w:r>
        <w:rPr>
          <w:rFonts w:hint="default" w:ascii="宋体" w:hAnsi="宋体" w:eastAsia="宋体" w:cs="宋体"/>
          <w:color w:val="000000"/>
          <w:kern w:val="0"/>
          <w:sz w:val="21"/>
          <w:szCs w:val="21"/>
          <w:highlight w:val="none"/>
          <w:lang w:val="en-US" w:eastAsia="zh-CN"/>
        </w:rPr>
        <w:t>按国家现行项目实施规范和合同规定的验收评定标准等要求进行验收。</w:t>
      </w:r>
    </w:p>
    <w:p w14:paraId="2D46A43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验收依据</w:t>
      </w:r>
    </w:p>
    <w:p w14:paraId="18D6756F">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1本项目竞争性磋商文件、响应文件:</w:t>
      </w:r>
    </w:p>
    <w:p w14:paraId="5FA2D05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2本合同及附件文本:</w:t>
      </w:r>
    </w:p>
    <w:p w14:paraId="7B2498B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3合同签订时国家及行业现行的标准和技术规范。</w:t>
      </w:r>
    </w:p>
    <w:p w14:paraId="7C3A2DF6">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r>
        <w:rPr>
          <w:rFonts w:hint="eastAsia" w:ascii="宋体" w:hAnsi="宋体" w:cs="宋体"/>
          <w:b/>
          <w:bCs/>
          <w:color w:val="000000"/>
          <w:kern w:val="0"/>
          <w:sz w:val="21"/>
          <w:szCs w:val="21"/>
          <w:highlight w:val="none"/>
          <w:lang w:val="en-US" w:eastAsia="zh-CN"/>
        </w:rPr>
        <w:t>8</w:t>
      </w:r>
      <w:r>
        <w:rPr>
          <w:rFonts w:hint="eastAsia" w:ascii="宋体" w:hAnsi="宋体" w:eastAsia="宋体" w:cs="宋体"/>
          <w:b/>
          <w:bCs/>
          <w:color w:val="000000"/>
          <w:kern w:val="0"/>
          <w:sz w:val="21"/>
          <w:szCs w:val="21"/>
          <w:highlight w:val="none"/>
        </w:rPr>
        <w:t>.合同终止和违约责任</w:t>
      </w:r>
      <w:bookmarkEnd w:id="21"/>
      <w:bookmarkEnd w:id="22"/>
    </w:p>
    <w:p w14:paraId="66FE44CF">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在下述条件下，本合同书可提前终止：</w:t>
      </w:r>
    </w:p>
    <w:p w14:paraId="340ABAC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.1 如果一方破产，或正在进行清算程序，或其财产的实质性部分被没收或扣押，则另一方可经书面通知该方而立即终止本合同，并有权要求其赔偿由此造成的损失；</w:t>
      </w:r>
    </w:p>
    <w:p w14:paraId="17F503C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.2 如果一方的所有权、组织结构、控制与管理发生重大变化，而导致其不能履行本合同的，则另一方可经书面通知该方而立即终止本合同，并有权要求其赔偿由此造成的损失；</w:t>
      </w:r>
    </w:p>
    <w:p w14:paraId="2EB2726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.3 除本合同另有约定外，如果一方违反本合同书任何约定并在收到另一方向其发出的书面通知后十五天内仍不纠正违约行为，则另一方可经书面通知该方而立即终止本合同，并有权按照</w:t>
      </w: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.4条的约定要求其承担违约责任，违约金不足以弥补损失的还应继续赔偿由此造成的损失。</w:t>
      </w:r>
    </w:p>
    <w:p w14:paraId="7DCA2CD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 如果本合同一方不按照合同约定履行义务，则应按照下述规定承担违约责任：</w:t>
      </w:r>
    </w:p>
    <w:p w14:paraId="5F5FFA9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.4.1 如果乙方未能履行合同或履行合同不符合约定，甲方应就此向乙方发出书面通知，指出乙方没有适当履行的合同条款，并要求纠正。如果乙方确属违约，并且乙方在收到甲方书面通知之日起十五日内仍不纠正违约行为或已无法纠正，甲方有权要求乙方承担金额最高不超过服务费总额30％的违约金。</w:t>
      </w:r>
    </w:p>
    <w:p w14:paraId="000549E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.4.2 甲方应当根据本合同约定按时向乙方付款，无正当理由迟延付款的，每迟延支付一日，应支付迟延付款金额0.1‰的违约金。</w:t>
      </w:r>
    </w:p>
    <w:p w14:paraId="70EC63D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kern w:val="0"/>
          <w:sz w:val="21"/>
          <w:szCs w:val="21"/>
          <w:highlight w:val="none"/>
        </w:rPr>
      </w:pPr>
      <w:bookmarkStart w:id="23" w:name="_Toc27960"/>
      <w:bookmarkStart w:id="24" w:name="_Toc29778"/>
      <w:r>
        <w:rPr>
          <w:rFonts w:hint="eastAsia" w:ascii="宋体" w:hAnsi="宋体" w:cs="宋体"/>
          <w:b/>
          <w:bCs/>
          <w:color w:val="000000"/>
          <w:kern w:val="0"/>
          <w:sz w:val="21"/>
          <w:szCs w:val="21"/>
          <w:highlight w:val="none"/>
          <w:lang w:val="en-US" w:eastAsia="zh-CN"/>
        </w:rPr>
        <w:t>9</w:t>
      </w:r>
      <w:r>
        <w:rPr>
          <w:rFonts w:hint="eastAsia" w:ascii="宋体" w:hAnsi="宋体" w:eastAsia="宋体" w:cs="宋体"/>
          <w:b/>
          <w:bCs/>
          <w:color w:val="000000"/>
          <w:kern w:val="0"/>
          <w:sz w:val="21"/>
          <w:szCs w:val="21"/>
          <w:highlight w:val="none"/>
        </w:rPr>
        <w:t>.不可抗力</w:t>
      </w:r>
      <w:bookmarkEnd w:id="23"/>
      <w:bookmarkEnd w:id="24"/>
    </w:p>
    <w:p w14:paraId="1E1518E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rPr>
        <w:t>.1 “不可抗力”是指本合同签订后不可预见并且其发生和后果是双方无法避免和克服的事件，该等事件在合同签署后发生，并造成一方不能履行其在合同书项下的全部或部分义务。该等事件包括地震、台风、洪水、火灾、战争、瘟疫、流行病、动乱、罢工以及法律规定为“不可抗力”的其他事件。</w:t>
      </w:r>
    </w:p>
    <w:p w14:paraId="773FAEE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rPr>
        <w:t>.2 如一项不可抗力事件发生并因此影响任何一方履行其在本合同项下的义务，则该项义务的履行在不可抗力事件导致的延迟期内可暂时中止，且该等不履行不视为对合同的违反。受到不可抗力事件影响的一方应当立即以书面形式将该不可抗力事件的发生通知另一方，并在此后十五日内提供该不可抗力事件发生和持续时间的充分证据。</w:t>
      </w:r>
    </w:p>
    <w:p w14:paraId="10586DA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rPr>
        <w:t>.3 发生不可抗力事件后，双方应相互协商以寻求公平的解决方法并应尽力将不可抗力所造成的影响减至最低。如果不可抗力的发生严重阻碍了合同的履行，且自不可抗力发生之日起三十日内双方仍无法找到公平的解决方法，则任何一方可提前终止本合同书。在此情况下，乙方应当退还甲方已经支付的款项（扣除乙方为本项目所已经实际支付的必要成本）。</w:t>
      </w:r>
    </w:p>
    <w:p w14:paraId="684A9AEF">
      <w:pPr>
        <w:keepNext w:val="0"/>
        <w:keepLines w:val="0"/>
        <w:pageBreakBefore w:val="0"/>
        <w:widowControl w:val="0"/>
        <w:kinsoku/>
        <w:wordWrap/>
        <w:overflowPunct/>
        <w:topLinePunct w:val="0"/>
        <w:autoSpaceDE w:val="0"/>
        <w:autoSpaceDN w:val="0"/>
        <w:bidi w:val="0"/>
        <w:adjustRightInd w:val="0"/>
        <w:spacing w:line="360" w:lineRule="auto"/>
        <w:ind w:firstLine="422" w:firstLineChars="200"/>
        <w:textAlignment w:val="auto"/>
        <w:rPr>
          <w:rFonts w:hint="eastAsia" w:ascii="宋体" w:hAnsi="宋体" w:eastAsia="宋体" w:cs="宋体"/>
          <w:b/>
          <w:bCs/>
          <w:color w:val="000000"/>
          <w:kern w:val="0"/>
          <w:sz w:val="21"/>
          <w:szCs w:val="21"/>
          <w:highlight w:val="none"/>
        </w:rPr>
      </w:pPr>
      <w:bookmarkStart w:id="25" w:name="_Toc7221"/>
      <w:bookmarkStart w:id="26" w:name="_Toc12058"/>
      <w:r>
        <w:rPr>
          <w:rFonts w:hint="eastAsia" w:ascii="宋体" w:hAnsi="宋体" w:cs="宋体"/>
          <w:b/>
          <w:bCs/>
          <w:color w:val="000000"/>
          <w:kern w:val="0"/>
          <w:sz w:val="21"/>
          <w:szCs w:val="21"/>
          <w:highlight w:val="none"/>
          <w:lang w:val="en-US" w:eastAsia="zh-CN"/>
        </w:rPr>
        <w:t>10</w:t>
      </w:r>
      <w:r>
        <w:rPr>
          <w:rFonts w:hint="eastAsia" w:ascii="宋体" w:hAnsi="宋体" w:eastAsia="宋体" w:cs="宋体"/>
          <w:b/>
          <w:bCs/>
          <w:color w:val="000000"/>
          <w:kern w:val="0"/>
          <w:sz w:val="21"/>
          <w:szCs w:val="21"/>
          <w:highlight w:val="none"/>
          <w:lang w:val="zh-CN"/>
        </w:rPr>
        <w:t>.知识产权、保密</w:t>
      </w:r>
      <w:bookmarkEnd w:id="25"/>
      <w:bookmarkEnd w:id="26"/>
    </w:p>
    <w:p w14:paraId="5A1C6AE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zh-CN"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.1合同双方保证，一方向另一方提供的文件、资料不会侵犯任何第三方的知识产权或其他合法权益，若因此给另一方造成损失的，由提供方依法承担相应法律责任。</w:t>
      </w:r>
    </w:p>
    <w:p w14:paraId="37EA763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zh-CN"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.2 甲方享有本合同项下全部事项内容完整的知识产权，未经甲方书面确认，乙方不得转让、许可或以其他方式提供给任何第三方使用；否则，甲方有权解除合同并依法追究乙方违约责任。</w:t>
      </w:r>
    </w:p>
    <w:p w14:paraId="337A6CD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.3本合同涉及的文件、资料内容属于甲方商业秘密，除为履行本合同所必须外，未经甲方授权乙方无权向第三方公开。</w:t>
      </w:r>
    </w:p>
    <w:p w14:paraId="46A0461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合同双方对因签署和履行本合同而获得的本合同各项条款、有关本合同的谈判、合同一方提供给对方的涉及提供方专属的或保密的信息和数据等属于商业秘密，仅在下列情况下，合同双方才可披露商业秘密条款信息：</w:t>
      </w:r>
    </w:p>
    <w:p w14:paraId="0A71C15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.4.1依法律法规的规定；</w:t>
      </w:r>
    </w:p>
    <w:p w14:paraId="049E1EE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.4.2 依任何有管辖权的政府机关、</w:t>
      </w:r>
      <w:r>
        <w:rPr>
          <w:rFonts w:hint="eastAsia" w:ascii="宋体" w:hAnsi="宋体" w:eastAsia="宋体" w:cs="宋体"/>
          <w:color w:val="000000"/>
          <w:kern w:val="0"/>
          <w:sz w:val="21"/>
          <w:szCs w:val="21"/>
          <w:highlight w:val="none"/>
          <w:lang w:val="en-US" w:eastAsia="zh-CN"/>
        </w:rPr>
        <w:t>司法机关、</w:t>
      </w:r>
      <w:r>
        <w:rPr>
          <w:rFonts w:hint="eastAsia" w:ascii="宋体" w:hAnsi="宋体" w:eastAsia="宋体" w:cs="宋体"/>
          <w:color w:val="000000"/>
          <w:kern w:val="0"/>
          <w:sz w:val="21"/>
          <w:szCs w:val="21"/>
          <w:highlight w:val="none"/>
          <w:lang w:val="zh-CN" w:eastAsia="zh-CN"/>
        </w:rPr>
        <w:t>监管机构或自律组织的要求；</w:t>
      </w:r>
    </w:p>
    <w:p w14:paraId="06C28F8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.4.3在收到对方披露的保密信息之时或之前已从对该保密信息无保密义务的第三方合法知悉该信息；</w:t>
      </w:r>
    </w:p>
    <w:p w14:paraId="39CDF7C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.4.4 非因乙方过错，而使信息已经公开；</w:t>
      </w:r>
    </w:p>
    <w:p w14:paraId="59EA0D6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.4.5合同双方事先达成书面认可；</w:t>
      </w:r>
    </w:p>
    <w:p w14:paraId="1A097010">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.5本条款的使用不因本合同的终止而失效；自其中某项秘密信息依法被公开披露、丧失保密性之日起，本合同约定的保密义务对该信息不再适用。</w:t>
      </w:r>
    </w:p>
    <w:p w14:paraId="0FC3DC00">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27" w:name="_Toc20922"/>
      <w:bookmarkStart w:id="28" w:name="_Toc26449"/>
      <w:r>
        <w:rPr>
          <w:rFonts w:hint="eastAsia" w:ascii="宋体" w:hAnsi="宋体" w:cs="宋体"/>
          <w:b/>
          <w:bCs/>
          <w:color w:val="000000"/>
          <w:kern w:val="0"/>
          <w:sz w:val="21"/>
          <w:szCs w:val="21"/>
          <w:highlight w:val="none"/>
          <w:lang w:val="en-US" w:eastAsia="zh-CN"/>
        </w:rPr>
        <w:t>11</w:t>
      </w:r>
      <w:r>
        <w:rPr>
          <w:rFonts w:hint="eastAsia" w:ascii="宋体" w:hAnsi="宋体" w:eastAsia="宋体" w:cs="宋体"/>
          <w:b/>
          <w:bCs/>
          <w:color w:val="000000"/>
          <w:kern w:val="0"/>
          <w:sz w:val="21"/>
          <w:szCs w:val="21"/>
          <w:highlight w:val="none"/>
        </w:rPr>
        <w:t>.争议解决</w:t>
      </w:r>
      <w:bookmarkEnd w:id="27"/>
      <w:bookmarkEnd w:id="28"/>
    </w:p>
    <w:p w14:paraId="3F58E28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11</w:t>
      </w:r>
      <w:r>
        <w:rPr>
          <w:rFonts w:hint="eastAsia" w:ascii="宋体" w:hAnsi="宋体" w:eastAsia="宋体" w:cs="宋体"/>
          <w:color w:val="000000"/>
          <w:kern w:val="0"/>
          <w:sz w:val="21"/>
          <w:szCs w:val="21"/>
          <w:highlight w:val="none"/>
          <w:lang w:val="en-US" w:eastAsia="zh-CN"/>
        </w:rPr>
        <w:t>.1 如果甲乙双方就本合同的履行发生任何争议，双方应首先通过友好协商解决该等争议。如果在协商开始的30日内双方无法解决争议，则提交给甲方所在地有管辖权的人民法院提起诉讼方式解决争议</w:t>
      </w:r>
      <w:r>
        <w:rPr>
          <w:rFonts w:hint="eastAsia" w:ascii="宋体" w:hAnsi="宋体" w:cs="宋体"/>
          <w:color w:val="000000"/>
          <w:kern w:val="0"/>
          <w:sz w:val="21"/>
          <w:szCs w:val="21"/>
          <w:highlight w:val="none"/>
          <w:lang w:val="en-US" w:eastAsia="zh-CN"/>
        </w:rPr>
        <w:t>。</w:t>
      </w:r>
      <w:r>
        <w:rPr>
          <w:rFonts w:hint="eastAsia" w:ascii="宋体" w:hAnsi="宋体" w:eastAsia="宋体" w:cs="宋体"/>
          <w:color w:val="000000"/>
          <w:kern w:val="0"/>
          <w:sz w:val="21"/>
          <w:szCs w:val="21"/>
          <w:highlight w:val="none"/>
          <w:lang w:val="en-US" w:eastAsia="zh-CN"/>
        </w:rPr>
        <w:t>违约方承担守约方的全部维权费用，包括但不限于保全担保费、公证费、公告费、审计费、鉴定费、律师费等。</w:t>
      </w:r>
    </w:p>
    <w:p w14:paraId="0BCF6FB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29" w:name="_Toc17905"/>
      <w:bookmarkStart w:id="30" w:name="_Toc2658"/>
      <w:r>
        <w:rPr>
          <w:rFonts w:hint="eastAsia" w:ascii="宋体" w:hAnsi="宋体" w:eastAsia="宋体" w:cs="宋体"/>
          <w:b/>
          <w:color w:val="000000"/>
          <w:kern w:val="0"/>
          <w:sz w:val="21"/>
          <w:szCs w:val="21"/>
          <w:highlight w:val="none"/>
          <w:lang w:val="en-US" w:eastAsia="zh-CN"/>
        </w:rPr>
        <w:t>1</w:t>
      </w:r>
      <w:r>
        <w:rPr>
          <w:rFonts w:hint="eastAsia" w:ascii="宋体" w:hAnsi="宋体" w:cs="宋体"/>
          <w:b/>
          <w:color w:val="000000"/>
          <w:kern w:val="0"/>
          <w:sz w:val="21"/>
          <w:szCs w:val="21"/>
          <w:highlight w:val="none"/>
          <w:lang w:val="en-US" w:eastAsia="zh-CN"/>
        </w:rPr>
        <w:t>2</w:t>
      </w:r>
      <w:r>
        <w:rPr>
          <w:rFonts w:hint="eastAsia" w:ascii="宋体" w:hAnsi="宋体" w:eastAsia="宋体" w:cs="宋体"/>
          <w:b/>
          <w:color w:val="000000"/>
          <w:kern w:val="0"/>
          <w:sz w:val="21"/>
          <w:szCs w:val="21"/>
          <w:highlight w:val="none"/>
        </w:rPr>
        <w:t>.通知</w:t>
      </w:r>
      <w:bookmarkEnd w:id="29"/>
      <w:bookmarkEnd w:id="30"/>
    </w:p>
    <w:p w14:paraId="031A0F4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2</w:t>
      </w:r>
      <w:r>
        <w:rPr>
          <w:rFonts w:hint="eastAsia" w:ascii="宋体" w:hAnsi="宋体" w:eastAsia="宋体" w:cs="宋体"/>
          <w:color w:val="000000"/>
          <w:kern w:val="0"/>
          <w:sz w:val="21"/>
          <w:szCs w:val="21"/>
          <w:highlight w:val="none"/>
          <w:lang w:val="en-US" w:eastAsia="zh-CN"/>
        </w:rPr>
        <w:t>.1本合同任何一方给另一方的通知都应以书面或电传、电报、传真的形式发送，而另一方应以书面形式确认并发送到对方明确的地址。</w:t>
      </w:r>
    </w:p>
    <w:p w14:paraId="4D74F18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31" w:name="_Toc20904"/>
      <w:bookmarkStart w:id="32" w:name="_Toc29310"/>
      <w:r>
        <w:rPr>
          <w:rFonts w:hint="eastAsia" w:ascii="宋体" w:hAnsi="宋体" w:eastAsia="宋体" w:cs="宋体"/>
          <w:b/>
          <w:color w:val="000000"/>
          <w:kern w:val="0"/>
          <w:sz w:val="21"/>
          <w:szCs w:val="21"/>
          <w:highlight w:val="none"/>
          <w:lang w:val="en-US" w:eastAsia="zh-CN"/>
        </w:rPr>
        <w:t>1</w:t>
      </w:r>
      <w:r>
        <w:rPr>
          <w:rFonts w:hint="eastAsia" w:ascii="宋体" w:hAnsi="宋体" w:cs="宋体"/>
          <w:b/>
          <w:color w:val="000000"/>
          <w:kern w:val="0"/>
          <w:sz w:val="21"/>
          <w:szCs w:val="21"/>
          <w:highlight w:val="none"/>
          <w:lang w:val="en-US" w:eastAsia="zh-CN"/>
        </w:rPr>
        <w:t>3</w:t>
      </w:r>
      <w:r>
        <w:rPr>
          <w:rFonts w:hint="eastAsia" w:ascii="宋体" w:hAnsi="宋体" w:eastAsia="宋体" w:cs="宋体"/>
          <w:b/>
          <w:color w:val="000000"/>
          <w:kern w:val="0"/>
          <w:sz w:val="21"/>
          <w:szCs w:val="21"/>
          <w:highlight w:val="none"/>
        </w:rPr>
        <w:t>.合同生效及其它</w:t>
      </w:r>
      <w:bookmarkEnd w:id="31"/>
      <w:bookmarkEnd w:id="32"/>
    </w:p>
    <w:p w14:paraId="12AF94B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.1 双方本着善意和合作的目的，同意就本项目组织中发生的不可预见的变化进行友好协商，并签署书面确认，以修正并取代本合同的约定。如没有签署书面确认，双方以本合同为准。</w:t>
      </w:r>
    </w:p>
    <w:p w14:paraId="6D6B2BE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.2本合同一式</w:t>
      </w:r>
      <w:r>
        <w:rPr>
          <w:rFonts w:hint="eastAsia" w:ascii="宋体" w:hAnsi="宋体" w:eastAsia="宋体" w:cs="宋体"/>
          <w:color w:val="000000"/>
          <w:kern w:val="0"/>
          <w:sz w:val="21"/>
          <w:szCs w:val="21"/>
          <w:highlight w:val="none"/>
          <w:u w:val="single"/>
          <w:lang w:val="en-US" w:eastAsia="zh-CN"/>
        </w:rPr>
        <w:t xml:space="preserve"> 肆 </w:t>
      </w:r>
      <w:r>
        <w:rPr>
          <w:rFonts w:hint="eastAsia" w:ascii="宋体" w:hAnsi="宋体" w:eastAsia="宋体" w:cs="宋体"/>
          <w:color w:val="000000"/>
          <w:kern w:val="0"/>
          <w:sz w:val="21"/>
          <w:szCs w:val="21"/>
          <w:highlight w:val="none"/>
          <w:lang w:val="en-US" w:eastAsia="zh-CN"/>
        </w:rPr>
        <w:t>份，甲乙双方各执</w:t>
      </w:r>
      <w:r>
        <w:rPr>
          <w:rFonts w:hint="eastAsia" w:ascii="宋体" w:hAnsi="宋体" w:eastAsia="宋体" w:cs="宋体"/>
          <w:color w:val="000000"/>
          <w:kern w:val="0"/>
          <w:sz w:val="21"/>
          <w:szCs w:val="21"/>
          <w:highlight w:val="none"/>
          <w:u w:val="single"/>
          <w:lang w:val="en-US" w:eastAsia="zh-CN"/>
        </w:rPr>
        <w:t xml:space="preserve"> 贰 </w:t>
      </w:r>
      <w:r>
        <w:rPr>
          <w:rFonts w:hint="eastAsia" w:ascii="宋体" w:hAnsi="宋体" w:eastAsia="宋体" w:cs="宋体"/>
          <w:color w:val="000000"/>
          <w:kern w:val="0"/>
          <w:sz w:val="21"/>
          <w:szCs w:val="21"/>
          <w:highlight w:val="none"/>
          <w:u w:val="none"/>
          <w:lang w:val="en-US" w:eastAsia="zh-CN"/>
        </w:rPr>
        <w:t>份，</w:t>
      </w:r>
      <w:r>
        <w:rPr>
          <w:rFonts w:hint="eastAsia" w:ascii="宋体" w:hAnsi="宋体" w:eastAsia="宋体" w:cs="宋体"/>
          <w:color w:val="000000"/>
          <w:kern w:val="0"/>
          <w:sz w:val="21"/>
          <w:szCs w:val="21"/>
          <w:highlight w:val="none"/>
          <w:lang w:val="en-US" w:eastAsia="zh-CN"/>
        </w:rPr>
        <w:t>经双方签字盖章后即发生法律效力，且均具有同等法律效力。</w:t>
      </w:r>
    </w:p>
    <w:p w14:paraId="3C8605E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.3签订时间</w:t>
      </w:r>
      <w:r>
        <w:rPr>
          <w:rFonts w:hint="eastAsia" w:ascii="宋体" w:hAnsi="宋体" w:eastAsia="宋体" w:cs="宋体"/>
          <w:color w:val="000000"/>
          <w:kern w:val="0"/>
          <w:sz w:val="21"/>
          <w:szCs w:val="21"/>
          <w:highlight w:val="none"/>
          <w:u w:val="none"/>
          <w:lang w:val="en-US" w:eastAsia="zh-CN"/>
        </w:rPr>
        <w:t>：</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u w:val="none"/>
          <w:lang w:val="en-US" w:eastAsia="zh-CN"/>
        </w:rPr>
        <w:t>。</w:t>
      </w:r>
    </w:p>
    <w:tbl>
      <w:tblPr>
        <w:tblStyle w:val="6"/>
        <w:tblpPr w:leftFromText="180" w:rightFromText="180" w:vertAnchor="text" w:horzAnchor="page" w:tblpX="1607" w:tblpY="584"/>
        <w:tblOverlap w:val="never"/>
        <w:tblW w:w="9347" w:type="dxa"/>
        <w:tblInd w:w="0" w:type="dxa"/>
        <w:tblLayout w:type="fixed"/>
        <w:tblCellMar>
          <w:top w:w="0" w:type="dxa"/>
          <w:left w:w="108" w:type="dxa"/>
          <w:bottom w:w="0" w:type="dxa"/>
          <w:right w:w="108" w:type="dxa"/>
        </w:tblCellMar>
      </w:tblPr>
      <w:tblGrid>
        <w:gridCol w:w="4812"/>
        <w:gridCol w:w="4535"/>
      </w:tblGrid>
      <w:tr w14:paraId="3471A26F">
        <w:tblPrEx>
          <w:tblCellMar>
            <w:top w:w="0" w:type="dxa"/>
            <w:left w:w="108" w:type="dxa"/>
            <w:bottom w:w="0" w:type="dxa"/>
            <w:right w:w="108" w:type="dxa"/>
          </w:tblCellMar>
        </w:tblPrEx>
        <w:trPr>
          <w:trHeight w:val="968" w:hRule="atLeast"/>
        </w:trPr>
        <w:tc>
          <w:tcPr>
            <w:tcW w:w="4812" w:type="dxa"/>
            <w:noWrap w:val="0"/>
            <w:vAlign w:val="top"/>
          </w:tcPr>
          <w:p w14:paraId="0B8406A2">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甲方</w:t>
            </w:r>
            <w:r>
              <w:rPr>
                <w:rFonts w:hint="eastAsia" w:ascii="宋体" w:hAnsi="宋体" w:eastAsia="宋体" w:cs="宋体"/>
                <w:color w:val="000000"/>
                <w:kern w:val="0"/>
                <w:sz w:val="21"/>
                <w:szCs w:val="21"/>
                <w:highlight w:val="none"/>
              </w:rPr>
              <w:t>：</w:t>
            </w:r>
          </w:p>
          <w:p w14:paraId="07AF3C6E">
            <w:pPr>
              <w:bidi w:val="0"/>
              <w:spacing w:line="360" w:lineRule="auto"/>
              <w:rPr>
                <w:rFonts w:hint="eastAsia" w:ascii="宋体" w:hAnsi="宋体" w:eastAsia="宋体" w:cs="宋体"/>
                <w:color w:val="000000"/>
                <w:kern w:val="0"/>
                <w:sz w:val="21"/>
                <w:szCs w:val="21"/>
                <w:highlight w:val="none"/>
              </w:rPr>
            </w:pPr>
          </w:p>
        </w:tc>
        <w:tc>
          <w:tcPr>
            <w:tcW w:w="4535" w:type="dxa"/>
            <w:noWrap w:val="0"/>
            <w:vAlign w:val="top"/>
          </w:tcPr>
          <w:p w14:paraId="3251BF97">
            <w:pPr>
              <w:bidi w:val="0"/>
              <w:spacing w:line="360" w:lineRule="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eastAsia="zh-CN"/>
              </w:rPr>
              <w:t>乙方</w:t>
            </w:r>
            <w:r>
              <w:rPr>
                <w:rFonts w:hint="eastAsia" w:ascii="宋体" w:hAnsi="宋体" w:eastAsia="宋体" w:cs="宋体"/>
                <w:color w:val="000000"/>
                <w:kern w:val="0"/>
                <w:sz w:val="21"/>
                <w:szCs w:val="21"/>
                <w:highlight w:val="none"/>
              </w:rPr>
              <w:t>：</w:t>
            </w:r>
          </w:p>
        </w:tc>
      </w:tr>
      <w:tr w14:paraId="5B4B4A7C">
        <w:tblPrEx>
          <w:tblCellMar>
            <w:top w:w="0" w:type="dxa"/>
            <w:left w:w="108" w:type="dxa"/>
            <w:bottom w:w="0" w:type="dxa"/>
            <w:right w:w="108" w:type="dxa"/>
          </w:tblCellMar>
        </w:tblPrEx>
        <w:trPr>
          <w:trHeight w:val="729" w:hRule="atLeast"/>
        </w:trPr>
        <w:tc>
          <w:tcPr>
            <w:tcW w:w="4812" w:type="dxa"/>
            <w:noWrap w:val="0"/>
            <w:vAlign w:val="top"/>
          </w:tcPr>
          <w:p w14:paraId="7D72D7A9">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地址</w:t>
            </w:r>
            <w:r>
              <w:rPr>
                <w:rFonts w:hint="eastAsia" w:ascii="宋体" w:hAnsi="宋体" w:eastAsia="宋体" w:cs="宋体"/>
                <w:color w:val="000000"/>
                <w:kern w:val="0"/>
                <w:sz w:val="21"/>
                <w:szCs w:val="21"/>
                <w:highlight w:val="none"/>
              </w:rPr>
              <w:t>：</w:t>
            </w:r>
          </w:p>
        </w:tc>
        <w:tc>
          <w:tcPr>
            <w:tcW w:w="4535" w:type="dxa"/>
            <w:noWrap w:val="0"/>
            <w:vAlign w:val="top"/>
          </w:tcPr>
          <w:p w14:paraId="1681AD68">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地址</w:t>
            </w:r>
            <w:r>
              <w:rPr>
                <w:rFonts w:hint="eastAsia" w:ascii="宋体" w:hAnsi="宋体" w:eastAsia="宋体" w:cs="宋体"/>
                <w:color w:val="000000"/>
                <w:kern w:val="0"/>
                <w:sz w:val="21"/>
                <w:szCs w:val="21"/>
                <w:highlight w:val="none"/>
              </w:rPr>
              <w:t>：</w:t>
            </w:r>
          </w:p>
        </w:tc>
      </w:tr>
      <w:tr w14:paraId="653002B7">
        <w:tblPrEx>
          <w:tblCellMar>
            <w:top w:w="0" w:type="dxa"/>
            <w:left w:w="108" w:type="dxa"/>
            <w:bottom w:w="0" w:type="dxa"/>
            <w:right w:w="108" w:type="dxa"/>
          </w:tblCellMar>
        </w:tblPrEx>
        <w:trPr>
          <w:trHeight w:val="729" w:hRule="atLeast"/>
        </w:trPr>
        <w:tc>
          <w:tcPr>
            <w:tcW w:w="4812" w:type="dxa"/>
            <w:noWrap w:val="0"/>
            <w:vAlign w:val="top"/>
          </w:tcPr>
          <w:p w14:paraId="38CF11AB">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法定代表人或其委托代理人（签字）：</w:t>
            </w:r>
          </w:p>
        </w:tc>
        <w:tc>
          <w:tcPr>
            <w:tcW w:w="4535" w:type="dxa"/>
            <w:noWrap w:val="0"/>
            <w:vAlign w:val="top"/>
          </w:tcPr>
          <w:p w14:paraId="4F882606">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法定代表人或其委托代理人（签字）：</w:t>
            </w:r>
          </w:p>
        </w:tc>
      </w:tr>
      <w:tr w14:paraId="5DED6F00">
        <w:tblPrEx>
          <w:tblCellMar>
            <w:top w:w="0" w:type="dxa"/>
            <w:left w:w="108" w:type="dxa"/>
            <w:bottom w:w="0" w:type="dxa"/>
            <w:right w:w="108" w:type="dxa"/>
          </w:tblCellMar>
        </w:tblPrEx>
        <w:trPr>
          <w:trHeight w:val="836" w:hRule="atLeast"/>
        </w:trPr>
        <w:tc>
          <w:tcPr>
            <w:tcW w:w="4812" w:type="dxa"/>
            <w:noWrap w:val="0"/>
            <w:vAlign w:val="top"/>
          </w:tcPr>
          <w:p w14:paraId="079FD02A">
            <w:pPr>
              <w:bidi w:val="0"/>
              <w:spacing w:line="360" w:lineRule="auto"/>
              <w:rPr>
                <w:rFonts w:hint="eastAsia" w:ascii="宋体" w:hAnsi="宋体" w:eastAsia="宋体" w:cs="宋体"/>
                <w:color w:val="000000"/>
                <w:kern w:val="0"/>
                <w:sz w:val="21"/>
                <w:szCs w:val="21"/>
                <w:highlight w:val="none"/>
              </w:rPr>
            </w:pPr>
          </w:p>
          <w:p w14:paraId="5B999BCA">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开户银行：</w:t>
            </w:r>
          </w:p>
        </w:tc>
        <w:tc>
          <w:tcPr>
            <w:tcW w:w="4535" w:type="dxa"/>
            <w:noWrap w:val="0"/>
            <w:vAlign w:val="top"/>
          </w:tcPr>
          <w:p w14:paraId="4FA8C4C6">
            <w:pPr>
              <w:bidi w:val="0"/>
              <w:spacing w:line="360" w:lineRule="auto"/>
              <w:rPr>
                <w:rFonts w:hint="eastAsia" w:ascii="宋体" w:hAnsi="宋体" w:eastAsia="宋体" w:cs="宋体"/>
                <w:color w:val="000000"/>
                <w:kern w:val="0"/>
                <w:sz w:val="21"/>
                <w:szCs w:val="21"/>
                <w:highlight w:val="none"/>
              </w:rPr>
            </w:pPr>
          </w:p>
          <w:p w14:paraId="3E6A89E5">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开户银行：</w:t>
            </w:r>
          </w:p>
        </w:tc>
      </w:tr>
      <w:tr w14:paraId="18EB24DA">
        <w:tblPrEx>
          <w:tblCellMar>
            <w:top w:w="0" w:type="dxa"/>
            <w:left w:w="108" w:type="dxa"/>
            <w:bottom w:w="0" w:type="dxa"/>
            <w:right w:w="108" w:type="dxa"/>
          </w:tblCellMar>
        </w:tblPrEx>
        <w:trPr>
          <w:trHeight w:val="637" w:hRule="atLeast"/>
        </w:trPr>
        <w:tc>
          <w:tcPr>
            <w:tcW w:w="4812" w:type="dxa"/>
            <w:noWrap w:val="0"/>
            <w:vAlign w:val="top"/>
          </w:tcPr>
          <w:p w14:paraId="18056CA7">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账</w:t>
            </w:r>
            <w:r>
              <w:rPr>
                <w:rFonts w:hint="eastAsia" w:ascii="宋体" w:hAnsi="宋体" w:eastAsia="宋体" w:cs="宋体"/>
                <w:color w:val="000000"/>
                <w:kern w:val="0"/>
                <w:sz w:val="21"/>
                <w:szCs w:val="21"/>
                <w:highlight w:val="none"/>
              </w:rPr>
              <w:t>号：</w:t>
            </w:r>
          </w:p>
        </w:tc>
        <w:tc>
          <w:tcPr>
            <w:tcW w:w="4535" w:type="dxa"/>
            <w:noWrap w:val="0"/>
            <w:vAlign w:val="top"/>
          </w:tcPr>
          <w:p w14:paraId="3833D3EF">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账</w:t>
            </w:r>
            <w:r>
              <w:rPr>
                <w:rFonts w:hint="eastAsia" w:ascii="宋体" w:hAnsi="宋体" w:eastAsia="宋体" w:cs="宋体"/>
                <w:color w:val="000000"/>
                <w:kern w:val="0"/>
                <w:sz w:val="21"/>
                <w:szCs w:val="21"/>
                <w:highlight w:val="none"/>
              </w:rPr>
              <w:t>号：</w:t>
            </w:r>
          </w:p>
        </w:tc>
      </w:tr>
      <w:tr w14:paraId="3DD78072">
        <w:tblPrEx>
          <w:tblCellMar>
            <w:top w:w="0" w:type="dxa"/>
            <w:left w:w="108" w:type="dxa"/>
            <w:bottom w:w="0" w:type="dxa"/>
            <w:right w:w="108" w:type="dxa"/>
          </w:tblCellMar>
        </w:tblPrEx>
        <w:trPr>
          <w:trHeight w:val="614" w:hRule="atLeast"/>
        </w:trPr>
        <w:tc>
          <w:tcPr>
            <w:tcW w:w="4812" w:type="dxa"/>
            <w:noWrap w:val="0"/>
            <w:vAlign w:val="top"/>
          </w:tcPr>
          <w:p w14:paraId="4F5B6D85">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邮编：</w:t>
            </w:r>
          </w:p>
        </w:tc>
        <w:tc>
          <w:tcPr>
            <w:tcW w:w="4535" w:type="dxa"/>
            <w:noWrap w:val="0"/>
            <w:vAlign w:val="top"/>
          </w:tcPr>
          <w:p w14:paraId="15D78A2B">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邮编：</w:t>
            </w:r>
          </w:p>
        </w:tc>
      </w:tr>
      <w:tr w14:paraId="41ECC1FB">
        <w:tblPrEx>
          <w:tblCellMar>
            <w:top w:w="0" w:type="dxa"/>
            <w:left w:w="108" w:type="dxa"/>
            <w:bottom w:w="0" w:type="dxa"/>
            <w:right w:w="108" w:type="dxa"/>
          </w:tblCellMar>
        </w:tblPrEx>
        <w:trPr>
          <w:trHeight w:val="694" w:hRule="atLeast"/>
        </w:trPr>
        <w:tc>
          <w:tcPr>
            <w:tcW w:w="4812" w:type="dxa"/>
            <w:noWrap w:val="0"/>
            <w:vAlign w:val="top"/>
          </w:tcPr>
          <w:p w14:paraId="1D53A954">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电话：</w:t>
            </w:r>
          </w:p>
        </w:tc>
        <w:tc>
          <w:tcPr>
            <w:tcW w:w="4535" w:type="dxa"/>
            <w:noWrap w:val="0"/>
            <w:vAlign w:val="top"/>
          </w:tcPr>
          <w:p w14:paraId="6C987F31">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电话：</w:t>
            </w:r>
          </w:p>
        </w:tc>
      </w:tr>
      <w:bookmarkEnd w:id="6"/>
      <w:bookmarkEnd w:id="7"/>
      <w:bookmarkEnd w:id="8"/>
      <w:bookmarkEnd w:id="9"/>
      <w:bookmarkEnd w:id="10"/>
      <w:bookmarkEnd w:id="11"/>
      <w:bookmarkEnd w:id="12"/>
      <w:bookmarkEnd w:id="13"/>
      <w:bookmarkEnd w:id="14"/>
    </w:tbl>
    <w:p w14:paraId="6B66C6C0"/>
    <w:p w14:paraId="569738E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lZWU1NTA2MjgxZTc2YWZkOWIyYzc5ZTIyZTNiZDMifQ=="/>
  </w:docVars>
  <w:rsids>
    <w:rsidRoot w:val="00000000"/>
    <w:rsid w:val="039746A3"/>
    <w:rsid w:val="0C804B19"/>
    <w:rsid w:val="360A7FBE"/>
    <w:rsid w:val="42E36709"/>
    <w:rsid w:val="5EE373AA"/>
    <w:rsid w:val="734603C0"/>
    <w:rsid w:val="734834A1"/>
    <w:rsid w:val="79C452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9"/>
    <w:qFormat/>
    <w:uiPriority w:val="0"/>
    <w:pPr>
      <w:keepNext/>
      <w:jc w:val="center"/>
      <w:outlineLvl w:val="0"/>
    </w:pPr>
    <w:rPr>
      <w:kern w:val="0"/>
      <w:sz w:val="28"/>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widowControl/>
      <w:ind w:firstLine="420"/>
      <w:jc w:val="left"/>
    </w:pPr>
    <w:rPr>
      <w:kern w:val="0"/>
      <w:sz w:val="20"/>
    </w:rPr>
  </w:style>
  <w:style w:type="paragraph" w:styleId="5">
    <w:name w:val="Body Text"/>
    <w:basedOn w:val="1"/>
    <w:next w:val="1"/>
    <w:qFormat/>
    <w:uiPriority w:val="99"/>
    <w:pPr>
      <w:adjustRightInd w:val="0"/>
      <w:spacing w:after="60" w:afterLines="0" w:line="360" w:lineRule="atLeast"/>
      <w:ind w:left="72" w:leftChars="30" w:right="30" w:rightChars="30"/>
      <w:jc w:val="center"/>
      <w:textAlignment w:val="baseline"/>
    </w:pPr>
    <w:rPr>
      <w:rFonts w:ascii="Times New Roman" w:hAnsi="Times New Roman"/>
    </w:rPr>
  </w:style>
  <w:style w:type="paragraph" w:customStyle="1" w:styleId="8">
    <w:name w:val="正文缩进1"/>
    <w:basedOn w:val="1"/>
    <w:qFormat/>
    <w:uiPriority w:val="0"/>
    <w:pPr>
      <w:ind w:firstLine="420" w:firstLineChars="200"/>
    </w:pPr>
  </w:style>
  <w:style w:type="character" w:customStyle="1" w:styleId="9">
    <w:name w:val="标题 1 Char"/>
    <w:link w:val="2"/>
    <w:qFormat/>
    <w:uiPriority w:val="0"/>
    <w:rPr>
      <w:kern w:val="0"/>
      <w:sz w:val="28"/>
    </w:rPr>
  </w:style>
  <w:style w:type="paragraph" w:customStyle="1" w:styleId="10">
    <w:name w:val="_Style 3"/>
    <w:qFormat/>
    <w:uiPriority w:val="1"/>
    <w:pPr>
      <w:widowControl w:val="0"/>
      <w:jc w:val="both"/>
    </w:pPr>
    <w:rPr>
      <w:rFonts w:ascii="Calibri" w:hAnsi="Calibri" w:eastAsia="宋体" w:cs="Times New Roman"/>
      <w:kern w:val="2"/>
      <w:sz w:val="21"/>
      <w:szCs w:val="22"/>
      <w:lang w:val="en-US" w:eastAsia="zh-CN" w:bidi="ar-SA"/>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3426</Words>
  <Characters>3665</Characters>
  <Lines>0</Lines>
  <Paragraphs>0</Paragraphs>
  <TotalTime>0</TotalTime>
  <ScaleCrop>false</ScaleCrop>
  <LinksUpToDate>false</LinksUpToDate>
  <CharactersWithSpaces>3846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2024-09-04T10:32:00Z</dcterms:created>
  <dc:creator>Administrator</dc:creator>
  <cp:lastModifiedBy>向阳</cp:lastModifiedBy>
  <dcterms:modified xsi:type="dcterms:W3CDTF">2025-06-04T01:24:54Z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6EF1FCFEBC8E402DB5E6AFED769F6990_13</vt:lpwstr>
  </property>
  <property fmtid="{D5CDD505-2E9C-101B-9397-08002B2CF9AE}" pid="4" name="KSOTemplateDocerSaveRecord">
    <vt:lpwstr>eyJoZGlkIjoiNzk1ZTU4YjNjOGI3MzhhYTkxZmI3NzRmY2VhYmU5MTIiLCJ1c2VySWQiOiI5MDUwMzI5NTYifQ==</vt:lpwstr>
  </property>
</Properties>
</file>