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DD50F">
      <w:pPr>
        <w:pStyle w:val="7"/>
        <w:jc w:val="center"/>
        <w:outlineLvl w:val="1"/>
        <w:rPr>
          <w:rFonts w:hint="eastAsia" w:ascii="宋体" w:hAnsi="宋体" w:eastAsia="宋体" w:cs="宋体"/>
          <w:color w:val="auto"/>
          <w:highlight w:val="none"/>
        </w:rPr>
      </w:pPr>
      <w:bookmarkStart w:id="8" w:name="_GoBack"/>
      <w:r>
        <w:rPr>
          <w:rFonts w:hint="eastAsia" w:ascii="宋体" w:hAnsi="宋体" w:eastAsia="宋体" w:cs="宋体"/>
          <w:b/>
          <w:color w:val="auto"/>
          <w:sz w:val="36"/>
          <w:highlight w:val="none"/>
        </w:rPr>
        <w:t>拟签订合同文本</w:t>
      </w:r>
    </w:p>
    <w:p w14:paraId="5B4AB6CA">
      <w:pPr>
        <w:pStyle w:val="7"/>
        <w:rPr>
          <w:rFonts w:hint="eastAsia" w:ascii="宋体" w:hAnsi="宋体" w:eastAsia="宋体" w:cs="宋体"/>
          <w:color w:val="auto"/>
          <w:highlight w:val="none"/>
        </w:rPr>
      </w:pPr>
    </w:p>
    <w:p w14:paraId="4B8DE03A">
      <w:pPr>
        <w:keepNext w:val="0"/>
        <w:keepLines w:val="0"/>
        <w:widowControl w:val="0"/>
        <w:suppressLineNumbers w:val="0"/>
        <w:autoSpaceDE w:val="0"/>
        <w:autoSpaceDN w:val="0"/>
        <w:adjustRightInd w:val="0"/>
        <w:snapToGrid w:val="0"/>
        <w:spacing w:before="240" w:beforeLines="100" w:beforeAutospacing="0" w:after="0" w:afterAutospacing="0" w:line="360" w:lineRule="auto"/>
        <w:ind w:left="0" w:right="0" w:firstLine="629"/>
        <w:jc w:val="both"/>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甲方：</w:t>
      </w:r>
      <w:r>
        <w:rPr>
          <w:rFonts w:hint="eastAsia" w:ascii="宋体" w:hAnsi="宋体" w:eastAsia="宋体" w:cs="宋体"/>
          <w:bCs/>
          <w:color w:val="auto"/>
          <w:kern w:val="2"/>
          <w:sz w:val="24"/>
          <w:szCs w:val="24"/>
          <w:highlight w:val="none"/>
          <w:lang w:val="en-US" w:eastAsia="zh-CN" w:bidi="ar"/>
        </w:rPr>
        <w:t>（前款所称采购人）     住所：</w:t>
      </w:r>
    </w:p>
    <w:p w14:paraId="22A32D28">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631"/>
        <w:jc w:val="both"/>
        <w:rPr>
          <w:rFonts w:hint="eastAsia" w:ascii="宋体" w:hAnsi="宋体" w:eastAsia="宋体" w:cs="宋体"/>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乙方：</w:t>
      </w:r>
      <w:r>
        <w:rPr>
          <w:rFonts w:hint="eastAsia" w:ascii="宋体" w:hAnsi="宋体" w:eastAsia="宋体" w:cs="宋体"/>
          <w:bCs/>
          <w:color w:val="auto"/>
          <w:kern w:val="2"/>
          <w:sz w:val="24"/>
          <w:szCs w:val="24"/>
          <w:highlight w:val="none"/>
          <w:lang w:val="en-US" w:eastAsia="zh-CN" w:bidi="ar"/>
        </w:rPr>
        <w:t>（前款所称中标人）     住所：</w:t>
      </w:r>
    </w:p>
    <w:p w14:paraId="2CB8761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bookmarkStart w:id="0" w:name="_Toc19515384"/>
      <w:bookmarkEnd w:id="0"/>
      <w:r>
        <w:rPr>
          <w:rFonts w:hint="eastAsia" w:ascii="宋体" w:hAnsi="宋体" w:eastAsia="宋体" w:cs="宋体"/>
          <w:color w:val="auto"/>
          <w:kern w:val="2"/>
          <w:sz w:val="24"/>
          <w:szCs w:val="24"/>
          <w:highlight w:val="none"/>
          <w:lang w:val="en-US" w:eastAsia="zh-CN" w:bidi="ar"/>
        </w:rPr>
        <w:t>一、合同内容（标的、数量、质量等）:</w:t>
      </w:r>
    </w:p>
    <w:p w14:paraId="1A9BF8F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bookmarkStart w:id="1" w:name="_Toc19515385"/>
      <w:bookmarkEnd w:id="1"/>
      <w:r>
        <w:rPr>
          <w:rFonts w:hint="eastAsia" w:ascii="宋体" w:hAnsi="宋体" w:eastAsia="宋体" w:cs="宋体"/>
          <w:color w:val="auto"/>
          <w:kern w:val="2"/>
          <w:sz w:val="24"/>
          <w:szCs w:val="24"/>
          <w:highlight w:val="none"/>
          <w:lang w:val="en-US" w:eastAsia="zh-CN" w:bidi="ar"/>
        </w:rPr>
        <w:t>二、合同价款</w:t>
      </w:r>
    </w:p>
    <w:p w14:paraId="6E076DB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lang w:val="en-US" w:eastAsia="zh-CN" w:bidi="ar"/>
        </w:rPr>
        <w:t>1、合同总价：</w:t>
      </w:r>
      <w:r>
        <w:rPr>
          <w:rFonts w:hint="eastAsia" w:ascii="宋体" w:hAnsi="宋体" w:eastAsia="宋体" w:cs="宋体"/>
          <w:color w:val="auto"/>
          <w:kern w:val="2"/>
          <w:sz w:val="24"/>
          <w:szCs w:val="24"/>
          <w:highlight w:val="none"/>
          <w:u w:val="single"/>
          <w:lang w:val="en-US" w:eastAsia="zh-CN" w:bidi="ar"/>
        </w:rPr>
        <w:t xml:space="preserve">                          </w:t>
      </w:r>
    </w:p>
    <w:p w14:paraId="49E985B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2、合同总价包括：包括满足本次招标全部采购需求所应提供的服务，以及伴随的产品。</w:t>
      </w:r>
    </w:p>
    <w:p w14:paraId="393A525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3、合同总价一次包死，不受市场价变化的影响。</w:t>
      </w:r>
    </w:p>
    <w:p w14:paraId="29DF6CF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rPr>
      </w:pPr>
      <w:bookmarkStart w:id="2" w:name="_Toc19515386"/>
      <w:bookmarkEnd w:id="2"/>
      <w:r>
        <w:rPr>
          <w:rFonts w:hint="eastAsia" w:ascii="宋体" w:hAnsi="宋体" w:eastAsia="宋体" w:cs="宋体"/>
          <w:color w:val="auto"/>
          <w:kern w:val="2"/>
          <w:sz w:val="24"/>
          <w:szCs w:val="24"/>
          <w:highlight w:val="none"/>
          <w:lang w:val="en-US" w:eastAsia="zh-CN" w:bidi="ar"/>
        </w:rPr>
        <w:t>三、合同结算</w:t>
      </w:r>
    </w:p>
    <w:p w14:paraId="79060237">
      <w:pPr>
        <w:keepNext w:val="0"/>
        <w:keepLines w:val="0"/>
        <w:widowControl w:val="0"/>
        <w:suppressLineNumbers w:val="0"/>
        <w:shd w:val="clear" w:fill="FFFFFF"/>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rPr>
      </w:pPr>
      <w:r>
        <w:rPr>
          <w:rFonts w:hint="eastAsia" w:ascii="宋体" w:hAnsi="宋体" w:eastAsia="宋体" w:cs="宋体"/>
          <w:color w:val="auto"/>
          <w:kern w:val="2"/>
          <w:sz w:val="24"/>
          <w:szCs w:val="24"/>
          <w:highlight w:val="none"/>
          <w:shd w:val="clear" w:fill="FFFFFF"/>
          <w:lang w:val="en-US" w:eastAsia="zh-CN" w:bidi="ar"/>
        </w:rPr>
        <w:t>1、付款方式：</w:t>
      </w:r>
    </w:p>
    <w:p w14:paraId="238FDC5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color w:val="auto"/>
          <w:kern w:val="2"/>
          <w:sz w:val="24"/>
          <w:szCs w:val="24"/>
          <w:highlight w:val="none"/>
          <w:shd w:val="clear" w:fill="FFFFFF"/>
        </w:rPr>
      </w:pPr>
      <w:r>
        <w:rPr>
          <w:rFonts w:hint="eastAsia" w:ascii="宋体" w:hAnsi="宋体" w:eastAsia="宋体" w:cs="宋体"/>
          <w:i w:val="0"/>
          <w:iCs w:val="0"/>
          <w:caps w:val="0"/>
          <w:color w:val="0A82E5"/>
          <w:spacing w:val="0"/>
          <w:sz w:val="18"/>
          <w:szCs w:val="18"/>
          <w:shd w:val="clear" w:fill="FFFFFF"/>
        </w:rPr>
        <w:t> </w:t>
      </w:r>
      <w:r>
        <w:rPr>
          <w:rFonts w:hint="eastAsia" w:ascii="宋体" w:hAnsi="宋体" w:eastAsia="宋体" w:cs="宋体"/>
          <w:color w:val="auto"/>
          <w:kern w:val="2"/>
          <w:sz w:val="24"/>
          <w:szCs w:val="24"/>
          <w:highlight w:val="none"/>
          <w:shd w:val="clear" w:fill="FFFFFF"/>
          <w:lang w:val="en-US" w:eastAsia="zh-CN" w:bidi="ar"/>
        </w:rPr>
        <w:t>合同签订后 ，达到付款条件起 10 日内，支付合同总金额的 40.00%。 第一阶段研发交付验收（一站式公共服务平台PC端、陕西影视剧服务管理平台PC管理端交付） ，达到付款条件起 10 日内，支付合同总金额的 40.00%。 第二阶段研发完成所有内容验收合格 ，达到付款条件起 10 日内，支付合同总金额的 20.00%。</w:t>
      </w:r>
    </w:p>
    <w:p w14:paraId="1E141129">
      <w:pPr>
        <w:keepNext w:val="0"/>
        <w:keepLines w:val="0"/>
        <w:widowControl w:val="0"/>
        <w:suppressLineNumbers w:val="0"/>
        <w:shd w:val="clear" w:fill="FFFFFF"/>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2、结算方式：银行转账。</w:t>
      </w:r>
    </w:p>
    <w:p w14:paraId="624CD69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shd w:val="clear" w:fill="FFFFFF"/>
          <w:lang w:val="en-US" w:eastAsia="zh-CN" w:bidi="ar"/>
        </w:rPr>
        <w:t>3、结算单位：由</w:t>
      </w:r>
      <w:r>
        <w:rPr>
          <w:rFonts w:hint="eastAsia" w:ascii="宋体" w:hAnsi="宋体" w:eastAsia="宋体" w:cs="宋体"/>
          <w:color w:val="auto"/>
          <w:kern w:val="2"/>
          <w:sz w:val="24"/>
          <w:szCs w:val="24"/>
          <w:highlight w:val="none"/>
          <w:u w:val="single"/>
          <w:shd w:val="clear" w:fill="FFFFFF"/>
          <w:lang w:val="en-US" w:eastAsia="zh-CN" w:bidi="ar"/>
        </w:rPr>
        <w:t xml:space="preserve"> 甲方 </w:t>
      </w:r>
      <w:r>
        <w:rPr>
          <w:rFonts w:hint="eastAsia" w:ascii="宋体" w:hAnsi="宋体" w:eastAsia="宋体" w:cs="宋体"/>
          <w:color w:val="auto"/>
          <w:kern w:val="2"/>
          <w:sz w:val="24"/>
          <w:szCs w:val="24"/>
          <w:highlight w:val="none"/>
          <w:lang w:val="en-US" w:eastAsia="zh-CN" w:bidi="ar"/>
        </w:rPr>
        <w:t>负责结算，乙方开具合同总价数的全额发票交采购人。</w:t>
      </w:r>
    </w:p>
    <w:p w14:paraId="0B2BD17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bookmarkStart w:id="3" w:name="_Toc19515387"/>
      <w:bookmarkEnd w:id="3"/>
      <w:r>
        <w:rPr>
          <w:rFonts w:hint="eastAsia" w:ascii="宋体" w:hAnsi="宋体" w:eastAsia="宋体" w:cs="宋体"/>
          <w:color w:val="auto"/>
          <w:kern w:val="2"/>
          <w:sz w:val="24"/>
          <w:szCs w:val="24"/>
          <w:highlight w:val="none"/>
          <w:lang w:val="en-US" w:eastAsia="zh-CN" w:bidi="ar"/>
        </w:rPr>
        <w:t>四、交货期、地点及方式:</w:t>
      </w:r>
    </w:p>
    <w:p w14:paraId="5D068E0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1、交货期：</w:t>
      </w:r>
      <w:r>
        <w:rPr>
          <w:rFonts w:hint="eastAsia" w:ascii="宋体" w:hAnsi="宋体" w:eastAsia="宋体" w:cs="宋体"/>
          <w:color w:val="auto"/>
          <w:kern w:val="2"/>
          <w:sz w:val="24"/>
          <w:szCs w:val="24"/>
          <w:highlight w:val="none"/>
          <w:shd w:val="clear" w:fill="FFFFFF"/>
          <w:lang w:val="en-US" w:eastAsia="zh-CN" w:bidi="ar"/>
        </w:rPr>
        <w:t>合同签订后6个月</w:t>
      </w:r>
      <w:r>
        <w:rPr>
          <w:rFonts w:hint="eastAsia" w:ascii="宋体" w:hAnsi="宋体" w:eastAsia="宋体" w:cs="宋体"/>
          <w:color w:val="auto"/>
          <w:kern w:val="0"/>
          <w:sz w:val="24"/>
          <w:szCs w:val="24"/>
          <w:highlight w:val="none"/>
          <w:lang w:val="en-US" w:eastAsia="zh-CN" w:bidi="ar"/>
        </w:rPr>
        <w:t xml:space="preserve"> </w:t>
      </w:r>
    </w:p>
    <w:p w14:paraId="3A51FD5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2、交货地点：</w:t>
      </w:r>
      <w:r>
        <w:rPr>
          <w:rFonts w:hint="eastAsia" w:ascii="宋体" w:hAnsi="宋体" w:eastAsia="宋体" w:cs="宋体"/>
          <w:color w:val="auto"/>
          <w:kern w:val="2"/>
          <w:sz w:val="24"/>
          <w:szCs w:val="24"/>
          <w:highlight w:val="none"/>
          <w:shd w:val="clear" w:fill="FFFFFF"/>
          <w:lang w:val="en-US" w:eastAsia="zh-CN" w:bidi="ar"/>
        </w:rPr>
        <w:t>采购人指定地点</w:t>
      </w:r>
    </w:p>
    <w:p w14:paraId="663A1FE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五、质量保修范围和保修期</w:t>
      </w:r>
    </w:p>
    <w:p w14:paraId="2F773F1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1、本项目的质保期为硬件验收合格后3年，软件验收合格后2年。（单个产品若中标人提供的质保期超过3年的，执行厂家规定，若国家有明确规定且高于此质保期的，执行国家规定）。</w:t>
      </w:r>
    </w:p>
    <w:p w14:paraId="1F36F9C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 xml:space="preserve"> 2、中标人提供的产品及材料必须保证质量可靠，为市场最新或主流产品，进货渠道正常，配置合理齐全，应全面满足招标文件的要求，招标文件未明确要求的内容，采购人须按产品主流标准配置或以采购人的补充要求为准。所供产品工艺质量应严格按国家最新发布的规范标准执行，如发生质量问题由中标人承担全部责任。采购人使用产品过程中因产品质量、产品缺陷及安装质量等造成人身伤亡、财产损失的，由中标人负责解决并承担全部责任。</w:t>
      </w:r>
    </w:p>
    <w:p w14:paraId="46D2740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 xml:space="preserve"> 3、中标人应提供可承担维修职能的公司或全资分公司或办事处，并驻守多名维护技术人员，并提供地点、联系人 （常驻工程师）及联系电话 （服务热线），随时解答各种疑问。 </w:t>
      </w:r>
    </w:p>
    <w:p w14:paraId="790C6C6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 xml:space="preserve">4、服务方式：现场服务，产品按照国家三包规定执行，提供终身技术支持。在质保期内，如果发生故障，中标人要调查故障原因，由中标人提供的产品出现的问题，中标人须免费修复直至满足最终验收指标和性能。在质保期间，中标人须提供 7*24 小时售后服务，并且实现 4 小时内到达现场服务，产品故障修复时间不超过 12 小时，对无法立即修复的产品及时提供备件更换服务，备件提供时间不超过 24 小时，产品维修时间超过 3 天的，则须提供同档次的备用产品。 </w:t>
      </w:r>
    </w:p>
    <w:p w14:paraId="6711471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5、每年至少二次免费上门维护，回访。</w:t>
      </w:r>
    </w:p>
    <w:p w14:paraId="7D40461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 xml:space="preserve"> 6、对于存在质量问题或者短少的产品，中标人应在接到采购人的通知 2 个日历日内负责修复，调换、重新制作或补齐。 </w:t>
      </w:r>
    </w:p>
    <w:p w14:paraId="37EBA07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7、在最终验收后的质量保证期内，中标人应对设计、工艺或材料等的缺陷而产生的故障负责（负责解决并承担全部费用）。质保期满后如出现此类问题亦应负责。</w:t>
      </w:r>
    </w:p>
    <w:p w14:paraId="285789B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 xml:space="preserve"> 8、中标人及所投产品的制造厂商应承诺质保期、维保期的售后服务条款（包括具体的服务内容、故障响应时间、响应方式、维修措施及时限、维护响应计划等方面），未提供任何质保期、维保期的售后服务条款或提供的内容不实的以不满足招标文件要求对待。</w:t>
      </w:r>
    </w:p>
    <w:p w14:paraId="3830FF07">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shd w:val="clear" w:fill="FFFFFF"/>
          <w:lang w:val="en-US" w:eastAsia="zh-CN" w:bidi="ar"/>
        </w:rPr>
      </w:pPr>
      <w:r>
        <w:rPr>
          <w:rFonts w:hint="eastAsia" w:ascii="宋体" w:hAnsi="宋体" w:eastAsia="宋体" w:cs="宋体"/>
          <w:color w:val="auto"/>
          <w:kern w:val="2"/>
          <w:sz w:val="24"/>
          <w:szCs w:val="24"/>
          <w:highlight w:val="none"/>
          <w:shd w:val="clear" w:fill="FFFFFF"/>
          <w:lang w:val="en-US" w:eastAsia="zh-CN" w:bidi="ar"/>
        </w:rPr>
        <w:t xml:space="preserve"> 9、对于未按约定提供质保服务的中标人或违约的中标人，采购人将拒绝其参加采购单位的政府采购项目。且采购人有权委托第三方进行维修，所产生的费用由中标人承担。</w:t>
      </w:r>
    </w:p>
    <w:p w14:paraId="41086AB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六、违约责任</w:t>
      </w:r>
    </w:p>
    <w:p w14:paraId="6A0F82C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val="en-US" w:eastAsia="zh-CN" w:bidi="ar"/>
        </w:rPr>
      </w:pPr>
      <w:bookmarkStart w:id="4" w:name="_Toc19515391"/>
      <w:bookmarkEnd w:id="4"/>
      <w:r>
        <w:rPr>
          <w:rFonts w:hint="eastAsia" w:ascii="宋体" w:hAnsi="宋体" w:eastAsia="宋体" w:cs="宋体"/>
          <w:color w:val="auto"/>
          <w:kern w:val="2"/>
          <w:sz w:val="24"/>
          <w:szCs w:val="24"/>
          <w:highlight w:val="none"/>
          <w:lang w:val="en-US" w:eastAsia="zh-CN" w:bidi="ar"/>
        </w:rPr>
        <w:t>违约责任依据《中华人民共和国民法典》、《中华人民共和国政府采购法》的相关条款和本合同约定，中标人未全面履行合同义务或者发生违约，采购单位会同采购代理机构有权终止合同，依法向中标人进行经济索赔，并报请政府采购监督管理机关进行相应的行政处罚。采购单位违约的，应当赔偿给中标人造成的经济损失。延期15天内中标人交合同金额的5%作为违约金，未完成技术培训的中标人将退还所有培训费用，提供的货物、服务与投标文件承诺的不一致的中标人交付合同金额的10%作为违约金，若多次整改不达标时，采购方将解除合同并主张双倍返还已付款项。</w:t>
      </w:r>
    </w:p>
    <w:p w14:paraId="39B14F9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七、验收标准和方法</w:t>
      </w:r>
    </w:p>
    <w:p w14:paraId="49A36F6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 xml:space="preserve">1、设备到货后，依标书要求对全部设备、产品、型号、规格、数量、外型、外观、包装及资料、文件进行验收。 </w:t>
      </w:r>
    </w:p>
    <w:p w14:paraId="30A54C0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 xml:space="preserve">2、拆箱后，应对其全部产品、零件、配件、用户许可证书、资料、介质造册登记，并与装箱单对比，如有出入应立即书面记录，由中标人联络厂家解决，如影响安装则按合同有关条款处理。 </w:t>
      </w:r>
    </w:p>
    <w:p w14:paraId="7001AF4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 xml:space="preserve">3、验收按国家有关的规定、规范进行。如果合同设备运输和安装调试过程中因中标人原因发现设备有短缺、次品、损坏或其它不符合本合同规定或质量要求，中标人应在10个工作日内安排换货到指定地点，以保证合同设备成功完整交付。换货的全部费用由中标人承担，若超过合同期限的，应承担迟延履行的违约责任。 </w:t>
      </w:r>
    </w:p>
    <w:p w14:paraId="5C6CD06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 xml:space="preserve">4、合同设备完成交货、安装、验收合格后，采购人、中标人用户单位出具书面确认材料视为合同设备已经交付。出具书面确认材料并不能视为免除中标对交付标的的质量保证责任。 </w:t>
      </w:r>
    </w:p>
    <w:p w14:paraId="001417B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5、中标人应负责在项目验收时将全部有关产品说明书、安装手册、技术文件、资料、及安装、验收报告等文档汇集成册交付采购人。</w:t>
      </w:r>
    </w:p>
    <w:p w14:paraId="70A35A0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6、验收依据：</w:t>
      </w:r>
    </w:p>
    <w:p w14:paraId="6D3C482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6-1、合同文本、合同附件、招标文件、投标文件。</w:t>
      </w:r>
    </w:p>
    <w:p w14:paraId="075C9EE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6-2、国内相应的标准、规范。</w:t>
      </w:r>
    </w:p>
    <w:p w14:paraId="0C31AA25">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bookmarkStart w:id="5" w:name="_Toc19515393"/>
      <w:bookmarkEnd w:id="5"/>
      <w:r>
        <w:rPr>
          <w:rFonts w:hint="eastAsia" w:ascii="宋体" w:hAnsi="宋体" w:eastAsia="宋体" w:cs="宋体"/>
          <w:color w:val="auto"/>
          <w:kern w:val="2"/>
          <w:sz w:val="24"/>
          <w:szCs w:val="24"/>
          <w:highlight w:val="none"/>
          <w:lang w:val="en-US" w:eastAsia="zh-CN" w:bidi="ar"/>
        </w:rPr>
        <w:t>八、合同组成</w:t>
      </w:r>
    </w:p>
    <w:p w14:paraId="0274C74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1、中标通知书</w:t>
      </w:r>
    </w:p>
    <w:p w14:paraId="6E5B8CC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2、合同文件</w:t>
      </w:r>
    </w:p>
    <w:p w14:paraId="0584596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3、国家相关规范及标准</w:t>
      </w:r>
    </w:p>
    <w:p w14:paraId="14A6A0AE">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4、招标文件</w:t>
      </w:r>
    </w:p>
    <w:p w14:paraId="003CCF6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5、投标文件</w:t>
      </w:r>
    </w:p>
    <w:p w14:paraId="3F250ED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bookmarkStart w:id="6" w:name="_Toc19515394"/>
      <w:bookmarkEnd w:id="6"/>
      <w:r>
        <w:rPr>
          <w:rFonts w:hint="eastAsia" w:ascii="宋体" w:hAnsi="宋体" w:eastAsia="宋体" w:cs="宋体"/>
          <w:color w:val="auto"/>
          <w:kern w:val="2"/>
          <w:sz w:val="24"/>
          <w:szCs w:val="24"/>
          <w:highlight w:val="none"/>
          <w:lang w:val="en-US" w:eastAsia="zh-CN" w:bidi="ar"/>
        </w:rPr>
        <w:t>九、解决争议的方法</w:t>
      </w:r>
    </w:p>
    <w:p w14:paraId="146BF949">
      <w:pPr>
        <w:keepNext w:val="0"/>
        <w:keepLines w:val="0"/>
        <w:widowControl/>
        <w:suppressLineNumbers w:val="0"/>
        <w:autoSpaceDE w:val="0"/>
        <w:autoSpaceDN w:val="0"/>
        <w:snapToGrid w:val="0"/>
        <w:spacing w:before="0" w:beforeAutospacing="0" w:after="0" w:afterAutospacing="0" w:line="360" w:lineRule="auto"/>
        <w:ind w:left="0" w:right="-110" w:firstLine="480" w:firstLineChars="200"/>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凡因本合同引起的或与本合同有关的争议，双方应友好协商解决。协商不成时，双方均同意采用以下第（  ）种争议解决方式：</w:t>
      </w:r>
    </w:p>
    <w:p w14:paraId="67386D96">
      <w:pPr>
        <w:keepNext w:val="0"/>
        <w:keepLines w:val="0"/>
        <w:widowControl/>
        <w:suppressLineNumbers w:val="0"/>
        <w:autoSpaceDE w:val="0"/>
        <w:autoSpaceDN w:val="0"/>
        <w:snapToGrid w:val="0"/>
        <w:spacing w:before="0" w:beforeAutospacing="0" w:after="0" w:afterAutospacing="0" w:line="360" w:lineRule="auto"/>
        <w:ind w:left="0" w:right="-110" w:firstLine="480" w:firstLineChars="200"/>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（1）、甲、乙双方均同意向（甲方所在地人民法院）提起诉讼。</w:t>
      </w:r>
    </w:p>
    <w:p w14:paraId="228E3DD6">
      <w:pPr>
        <w:keepNext w:val="0"/>
        <w:keepLines w:val="0"/>
        <w:widowControl/>
        <w:suppressLineNumbers w:val="0"/>
        <w:autoSpaceDE w:val="0"/>
        <w:autoSpaceDN w:val="0"/>
        <w:snapToGrid w:val="0"/>
        <w:spacing w:before="0" w:beforeAutospacing="0" w:after="0" w:afterAutospacing="0" w:line="360" w:lineRule="auto"/>
        <w:ind w:left="0" w:right="-110" w:firstLine="480" w:firstLineChars="200"/>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（2）、甲、乙双方均同意向（</w:t>
      </w:r>
      <w:r>
        <w:rPr>
          <w:rFonts w:hint="eastAsia" w:ascii="宋体" w:hAnsi="宋体" w:eastAsia="宋体" w:cs="宋体"/>
          <w:color w:val="auto"/>
          <w:kern w:val="2"/>
          <w:sz w:val="21"/>
          <w:szCs w:val="21"/>
          <w:highlight w:val="none"/>
          <w:lang w:val="en-US" w:eastAsia="zh-CN" w:bidi="ar"/>
        </w:rPr>
        <w:fldChar w:fldCharType="begin"/>
      </w:r>
      <w:r>
        <w:rPr>
          <w:rFonts w:hint="eastAsia" w:ascii="宋体" w:hAnsi="宋体" w:eastAsia="宋体" w:cs="宋体"/>
          <w:color w:val="auto"/>
          <w:kern w:val="2"/>
          <w:sz w:val="21"/>
          <w:szCs w:val="21"/>
          <w:highlight w:val="none"/>
          <w:lang w:val="en-US" w:eastAsia="zh-CN" w:bidi="ar"/>
        </w:rPr>
        <w:instrText xml:space="preserve"> HYPERLINK "http://www.baidu.com/s?wd=%E4%BB%B2%E8%A3%81%E5%A7%94%E5%91%98%E4%BC%9A&amp;tn=SE_PcZhidaonwhc_ngpagmjz&amp;rsv_dl=gh_pc_zhidao" </w:instrText>
      </w:r>
      <w:r>
        <w:rPr>
          <w:rFonts w:hint="eastAsia" w:ascii="宋体" w:hAnsi="宋体" w:eastAsia="宋体" w:cs="宋体"/>
          <w:color w:val="auto"/>
          <w:kern w:val="2"/>
          <w:sz w:val="21"/>
          <w:szCs w:val="21"/>
          <w:highlight w:val="none"/>
          <w:lang w:val="en-US" w:eastAsia="zh-CN" w:bidi="ar"/>
        </w:rPr>
        <w:fldChar w:fldCharType="separate"/>
      </w:r>
      <w:r>
        <w:rPr>
          <w:rStyle w:val="6"/>
          <w:rFonts w:hint="eastAsia" w:ascii="宋体" w:hAnsi="宋体" w:eastAsia="宋体" w:cs="宋体"/>
          <w:color w:val="auto"/>
          <w:kern w:val="0"/>
          <w:sz w:val="24"/>
          <w:szCs w:val="24"/>
          <w:highlight w:val="none"/>
        </w:rPr>
        <w:t>仲裁委员会</w:t>
      </w:r>
      <w:r>
        <w:rPr>
          <w:rFonts w:hint="eastAsia" w:ascii="宋体" w:hAnsi="宋体" w:eastAsia="宋体" w:cs="宋体"/>
          <w:color w:val="auto"/>
          <w:kern w:val="2"/>
          <w:sz w:val="21"/>
          <w:szCs w:val="21"/>
          <w:highlight w:val="none"/>
          <w:lang w:val="en-US" w:eastAsia="zh-CN" w:bidi="ar"/>
        </w:rPr>
        <w:fldChar w:fldCharType="end"/>
      </w:r>
      <w:r>
        <w:rPr>
          <w:rFonts w:hint="eastAsia" w:ascii="宋体" w:hAnsi="宋体" w:eastAsia="宋体" w:cs="宋体"/>
          <w:color w:val="auto"/>
          <w:kern w:val="0"/>
          <w:sz w:val="24"/>
          <w:szCs w:val="24"/>
          <w:highlight w:val="none"/>
          <w:lang w:val="en-US" w:eastAsia="zh-CN" w:bidi="ar"/>
        </w:rPr>
        <w:t>）提起仲裁。</w:t>
      </w:r>
    </w:p>
    <w:p w14:paraId="57B04B9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bookmarkStart w:id="7" w:name="_Toc19515395"/>
      <w:bookmarkEnd w:id="7"/>
      <w:r>
        <w:rPr>
          <w:rFonts w:hint="eastAsia" w:ascii="宋体" w:hAnsi="宋体" w:eastAsia="宋体" w:cs="宋体"/>
          <w:color w:val="auto"/>
          <w:kern w:val="2"/>
          <w:sz w:val="24"/>
          <w:szCs w:val="24"/>
          <w:highlight w:val="none"/>
          <w:lang w:val="en-US" w:eastAsia="zh-CN" w:bidi="ar"/>
        </w:rPr>
        <w:t>十、合同生效及其它</w:t>
      </w:r>
    </w:p>
    <w:p w14:paraId="7556A673">
      <w:pPr>
        <w:keepNext w:val="0"/>
        <w:keepLines w:val="0"/>
        <w:widowControl/>
        <w:suppressLineNumbers w:val="0"/>
        <w:autoSpaceDE w:val="0"/>
        <w:autoSpaceDN w:val="0"/>
        <w:snapToGrid w:val="0"/>
        <w:spacing w:before="0" w:beforeAutospacing="0" w:after="0" w:afterAutospacing="0" w:line="360" w:lineRule="auto"/>
        <w:ind w:left="0" w:right="-110" w:firstLine="480" w:firstLineChars="200"/>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1、合同未尽事宜、由甲、乙双方协商，作为合同补充，与原合同具有同等法律效力。</w:t>
      </w:r>
    </w:p>
    <w:p w14:paraId="456C3A06">
      <w:pPr>
        <w:keepNext w:val="0"/>
        <w:keepLines w:val="0"/>
        <w:widowControl/>
        <w:suppressLineNumbers w:val="0"/>
        <w:autoSpaceDE w:val="0"/>
        <w:autoSpaceDN w:val="0"/>
        <w:snapToGrid w:val="0"/>
        <w:spacing w:before="0" w:beforeAutospacing="0" w:after="0" w:afterAutospacing="0" w:line="360" w:lineRule="auto"/>
        <w:ind w:left="0" w:right="-69" w:firstLine="480" w:firstLineChars="200"/>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2、 本合同正本一式</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份，甲方、乙方双方分别执</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份，</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备案</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份。</w:t>
      </w:r>
    </w:p>
    <w:p w14:paraId="07054EA5">
      <w:pPr>
        <w:keepNext w:val="0"/>
        <w:keepLines w:val="0"/>
        <w:widowControl/>
        <w:suppressLineNumbers w:val="0"/>
        <w:autoSpaceDE w:val="0"/>
        <w:autoSpaceDN w:val="0"/>
        <w:snapToGrid w:val="0"/>
        <w:spacing w:before="0" w:beforeAutospacing="0" w:after="0" w:afterAutospacing="0" w:line="360" w:lineRule="auto"/>
        <w:ind w:left="0" w:right="-69" w:firstLine="480" w:firstLineChars="200"/>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3、合同经甲乙双方盖章、签字后生效，合同签订地点为</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6041D58F">
      <w:pPr>
        <w:keepNext w:val="0"/>
        <w:keepLines w:val="0"/>
        <w:widowControl/>
        <w:suppressLineNumbers w:val="0"/>
        <w:autoSpaceDE w:val="0"/>
        <w:autoSpaceDN w:val="0"/>
        <w:snapToGrid w:val="0"/>
        <w:spacing w:before="0" w:beforeAutospacing="0" w:after="0" w:afterAutospacing="0" w:line="360" w:lineRule="auto"/>
        <w:ind w:left="0" w:right="-69" w:firstLine="480" w:firstLineChars="200"/>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4、生效时间：   年  月  日</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43"/>
        <w:gridCol w:w="4643"/>
      </w:tblGrid>
      <w:tr w14:paraId="6D9CB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4643" w:type="dxa"/>
            <w:tcBorders>
              <w:top w:val="nil"/>
              <w:left w:val="nil"/>
              <w:bottom w:val="nil"/>
              <w:right w:val="nil"/>
            </w:tcBorders>
            <w:shd w:val="clear" w:color="auto" w:fill="auto"/>
            <w:vAlign w:val="top"/>
          </w:tcPr>
          <w:p w14:paraId="515A4D05">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甲方名称</w:t>
            </w:r>
            <w:r>
              <w:rPr>
                <w:rFonts w:hint="eastAsia" w:ascii="宋体" w:hAnsi="宋体" w:eastAsia="宋体" w:cs="宋体"/>
                <w:color w:val="auto"/>
                <w:spacing w:val="-20"/>
                <w:kern w:val="0"/>
                <w:sz w:val="24"/>
                <w:szCs w:val="24"/>
                <w:highlight w:val="none"/>
                <w:lang w:val="en-US" w:eastAsia="zh-CN" w:bidi="ar"/>
              </w:rPr>
              <w:t>（盖章）</w:t>
            </w:r>
            <w:r>
              <w:rPr>
                <w:rFonts w:hint="eastAsia" w:ascii="宋体" w:hAnsi="宋体" w:eastAsia="宋体" w:cs="宋体"/>
                <w:color w:val="auto"/>
                <w:kern w:val="0"/>
                <w:sz w:val="24"/>
                <w:szCs w:val="24"/>
                <w:highlight w:val="none"/>
                <w:lang w:val="en-US" w:eastAsia="zh-CN" w:bidi="ar"/>
              </w:rPr>
              <w:t>:</w:t>
            </w:r>
          </w:p>
          <w:p w14:paraId="33C86EC9">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地址：</w:t>
            </w:r>
          </w:p>
          <w:p w14:paraId="6DE44D06">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代表人（签字）：</w:t>
            </w:r>
          </w:p>
          <w:p w14:paraId="28631B54">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电话：</w:t>
            </w:r>
          </w:p>
          <w:p w14:paraId="0A8C62D9">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开户银行：</w:t>
            </w:r>
          </w:p>
          <w:p w14:paraId="2CCB116C">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帐号：</w:t>
            </w:r>
          </w:p>
        </w:tc>
        <w:tc>
          <w:tcPr>
            <w:tcW w:w="4643" w:type="dxa"/>
            <w:tcBorders>
              <w:top w:val="nil"/>
              <w:left w:val="nil"/>
              <w:bottom w:val="nil"/>
              <w:right w:val="nil"/>
            </w:tcBorders>
            <w:shd w:val="clear" w:color="auto" w:fill="auto"/>
            <w:vAlign w:val="top"/>
          </w:tcPr>
          <w:p w14:paraId="6B582801">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乙方名称</w:t>
            </w:r>
            <w:r>
              <w:rPr>
                <w:rFonts w:hint="eastAsia" w:ascii="宋体" w:hAnsi="宋体" w:eastAsia="宋体" w:cs="宋体"/>
                <w:color w:val="auto"/>
                <w:spacing w:val="-20"/>
                <w:kern w:val="0"/>
                <w:sz w:val="24"/>
                <w:szCs w:val="24"/>
                <w:highlight w:val="none"/>
                <w:lang w:val="en-US" w:eastAsia="zh-CN" w:bidi="ar"/>
              </w:rPr>
              <w:t>（盖章）</w:t>
            </w:r>
            <w:r>
              <w:rPr>
                <w:rFonts w:hint="eastAsia" w:ascii="宋体" w:hAnsi="宋体" w:eastAsia="宋体" w:cs="宋体"/>
                <w:color w:val="auto"/>
                <w:kern w:val="0"/>
                <w:sz w:val="24"/>
                <w:szCs w:val="24"/>
                <w:highlight w:val="none"/>
                <w:lang w:val="en-US" w:eastAsia="zh-CN" w:bidi="ar"/>
              </w:rPr>
              <w:t>:</w:t>
            </w:r>
          </w:p>
          <w:p w14:paraId="0903A3D5">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地址：</w:t>
            </w:r>
          </w:p>
          <w:p w14:paraId="66B23E74">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代表人（签字）：</w:t>
            </w:r>
          </w:p>
          <w:p w14:paraId="111F3AFC">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电话：</w:t>
            </w:r>
          </w:p>
          <w:p w14:paraId="301682DD">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开户银行：</w:t>
            </w:r>
          </w:p>
          <w:p w14:paraId="4134519B">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帐号：</w:t>
            </w:r>
          </w:p>
        </w:tc>
      </w:tr>
    </w:tbl>
    <w:p w14:paraId="1A81D950">
      <w:pPr>
        <w:rPr>
          <w:rFonts w:hint="eastAsia" w:ascii="宋体" w:hAnsi="宋体" w:eastAsia="宋体" w:cs="宋体"/>
          <w:color w:val="auto"/>
          <w:highlight w:val="none"/>
        </w:rPr>
      </w:pPr>
    </w:p>
    <w:bookmarkEnd w:i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ZmM3ZTRjNzNmYjlhOGQ1NzY4ZTk1NTg5ZDYxNDMifQ=="/>
  </w:docVars>
  <w:rsids>
    <w:rsidRoot w:val="00000000"/>
    <w:rsid w:val="19C97DC3"/>
    <w:rsid w:val="4E417C4F"/>
    <w:rsid w:val="63411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 w:type="paragraph" w:customStyle="1" w:styleId="7">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2320</Words>
  <Characters>2354</Characters>
  <Lines>0</Lines>
  <Paragraphs>0</Paragraphs>
  <TotalTime>11</TotalTime>
  <ScaleCrop>false</ScaleCrop>
  <LinksUpToDate>false</LinksUpToDate>
  <CharactersWithSpaces>2456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2024-08-26T06:00:00Z</dcterms:created>
  <dc:creator>HP</dc:creator>
  <cp:lastModifiedBy>青女田田</cp:lastModifiedBy>
  <dcterms:modified xsi:type="dcterms:W3CDTF">2025-06-03T12:30:03Z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9F68CC6940DB4705AD983E2D61BE90B4_12</vt:lpwstr>
  </property>
  <property fmtid="{D5CDD505-2E9C-101B-9397-08002B2CF9AE}" pid="4" name="KSOTemplateDocerSaveRecord">
    <vt:lpwstr>eyJoZGlkIjoiMzc3NzcwYzE1YzdjYmRhZjAyNTZkMDI5Yjg1ODY3MTMiLCJ1c2VySWQiOiIzMDc3MTg2NTcifQ==</vt:lpwstr>
  </property>
</Properties>
</file>