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版本号：FY2025-ZF-YJGL10520250609001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《陕西应急管理》杂志运营项目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FY2025-ZF-YJGL105</w:t>
      </w:r>
      <w:r>
        <w:br/>
      </w:r>
      <w:r>
        <w:br/>
      </w:r>
      <w:r>
        <w:br/>
      </w:r>
    </w:p>
    <w:p>
      <w:pPr>
        <w:pStyle w:val="null3"/>
        <w:jc w:val="center"/>
        <w:outlineLvl w:val="5"/>
      </w:pPr>
      <w:r>
        <w:rPr>
          <w:rFonts w:ascii="仿宋_GB2312" w:hAnsi="仿宋_GB2312" w:cs="仿宋_GB2312" w:eastAsia="仿宋_GB2312"/>
          <w:sz w:val="15"/>
          <w:b/>
        </w:rPr>
        <w:t>陕西省应急管理厅</w:t>
      </w:r>
    </w:p>
    <w:p>
      <w:pPr>
        <w:pStyle w:val="null3"/>
        <w:jc w:val="center"/>
        <w:outlineLvl w:val="5"/>
      </w:pPr>
      <w:r>
        <w:rPr>
          <w:rFonts w:ascii="仿宋_GB2312" w:hAnsi="仿宋_GB2312" w:cs="仿宋_GB2312" w:eastAsia="仿宋_GB2312"/>
          <w:sz w:val="15"/>
          <w:b/>
        </w:rPr>
        <w:t>福元项目管理有限公司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福元项目管理有限公司</w:t>
      </w:r>
      <w:r>
        <w:rPr>
          <w:rFonts w:ascii="仿宋_GB2312" w:hAnsi="仿宋_GB2312" w:cs="仿宋_GB2312" w:eastAsia="仿宋_GB2312"/>
        </w:rPr>
        <w:t>（以下简称“代理机构”）受</w:t>
      </w:r>
      <w:r>
        <w:rPr>
          <w:rFonts w:ascii="仿宋_GB2312" w:hAnsi="仿宋_GB2312" w:cs="仿宋_GB2312" w:eastAsia="仿宋_GB2312"/>
        </w:rPr>
        <w:t>陕西省应急管理厅</w:t>
      </w:r>
      <w:r>
        <w:rPr>
          <w:rFonts w:ascii="仿宋_GB2312" w:hAnsi="仿宋_GB2312" w:cs="仿宋_GB2312" w:eastAsia="仿宋_GB2312"/>
        </w:rPr>
        <w:t>委托，拟对</w:t>
      </w:r>
      <w:r>
        <w:rPr>
          <w:rFonts w:ascii="仿宋_GB2312" w:hAnsi="仿宋_GB2312" w:cs="仿宋_GB2312" w:eastAsia="仿宋_GB2312"/>
        </w:rPr>
        <w:t>《陕西应急管理》杂志运营项目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FY2025-ZF-YJGL105</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《陕西应急管理》杂志运营项目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选一家具备杂志期刊办刊条件的单位承办《陕西应急管理》杂志，需要有内部资料性出版物准印证，每月对全省应急管理、安全生产、防灾减灾重点工作和企业安全生产好的经验做法进行介绍,搭建全省应急系统交流学习平台，杂志每年12期，免费向全省各级政府领导班子、各市县安委会成员单位及重点企事业单位赠阅，月发放量50000余份。</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审计报告、资产负债表、利润表、现金流量表、所有者权益变动表及其附注，成立时间至提交投标文件截止时间不足一年的可提供成立后任意时段的资产负债表），或其采购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4、社会保障资金缴纳证明：提供递交响应文件截止之日前一年内至少一个月的社会保障资金缴存单据或社保机构开具的社会保险参保缴费情况证明，依法不需要缴纳社会保障资金的单位应提供相关证明材料；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 ：提供具有履行合同所必需的设备和专业技术能力的承诺函；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7、法定代表人授权书及被授权人身份证：法定代表人授权书及授权人身份证复印件，（法定代表人直接磋商时,只需提交法定代表人身份证）；</w:t>
      </w:r>
    </w:p>
    <w:p>
      <w:pPr>
        <w:pStyle w:val="null3"/>
      </w:pPr>
      <w:r>
        <w:rPr>
          <w:rFonts w:ascii="仿宋_GB2312" w:hAnsi="仿宋_GB2312" w:cs="仿宋_GB2312" w:eastAsia="仿宋_GB2312"/>
        </w:rPr>
        <w:t>8、内部刊物准印证： 提供有效的内部资料性出版物准印证；</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陕西省应急管理厅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61166232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福元项目管理有限公司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西安市未央区大明宫街道君城国际A座1703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陈晓英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88236293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代理服务费收费标准：1、招标代理服务费按约定由中标人支付，领取中标通知书前，由中标人向采购代理机构缴纳代理服务费，一次性付清。 2、招标代理服务费以中标金额为基数参照《国家计委关于印发&lt;招标代理服务收费管理暂行办法&gt;的通知》（计价格[2002]1980号）和国家发改委办公厅颁发的《关于招标代理服务收费有关问题的通知》（发改办价格[2003]857号）的有关规定按标准收取。3采购代理服务费以转账形式缴纳至以下账户 账户户名: 福元项目管理有限公司；开户行: 西安银行股份有限公司长庆支行；账号：116011580000143127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陕西省应急管理厅</w:t>
      </w:r>
      <w:r>
        <w:rPr>
          <w:rFonts w:ascii="仿宋_GB2312" w:hAnsi="仿宋_GB2312" w:cs="仿宋_GB2312" w:eastAsia="仿宋_GB2312"/>
        </w:rPr>
        <w:t>和</w:t>
      </w:r>
      <w:r>
        <w:rPr>
          <w:rFonts w:ascii="仿宋_GB2312" w:hAnsi="仿宋_GB2312" w:cs="仿宋_GB2312" w:eastAsia="仿宋_GB2312"/>
        </w:rPr>
        <w:t>福元项目管理有限公司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福元项目管理有限公司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陕西省应急管理厅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福元项目管理有限公司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福元项目管理有限公司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福元项目管理有限公司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福元项目管理有限公司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选一家具备杂志期刊办刊条件的单位承办《陕西应急管理》杂志，需要有内部资料性出版物准印证，每月对全省应急管理、安全生产、防灾减灾重点工作和企业安全生产好的经验做法进行介绍,搭建全省应急系统交流学习平台，杂志每年12期，免费向全省各级政府领导班子、各市县安委会成员单位及重点企事业单位赠阅，月发放量50000余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《陕西应急管理》杂志运营项目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标的名称：《陕西应急管理》杂志运营项目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杂志印刷:《陕西应急管理》杂志为月刊，每年12期，月发行量5000余份，A4开64页，封面157g铜板纸，内页80g铜板纸，达到文字清晰、图片颜色饱满。</w:t>
            </w:r>
          </w:p>
          <w:p>
            <w:pPr>
              <w:pStyle w:val="null3"/>
              <w:jc w:val="both"/>
            </w:pPr>
            <w:r>
              <w:rPr>
                <w:rFonts w:ascii="仿宋_GB2312" w:hAnsi="仿宋_GB2312" w:cs="仿宋_GB2312" w:eastAsia="仿宋_GB2312"/>
                <w:sz w:val="28"/>
              </w:rPr>
              <w:t xml:space="preserve"> 2.</w:t>
            </w:r>
            <w:r>
              <w:rPr>
                <w:rFonts w:ascii="仿宋_GB2312" w:hAnsi="仿宋_GB2312" w:cs="仿宋_GB2312" w:eastAsia="仿宋_GB2312"/>
                <w:sz w:val="28"/>
              </w:rPr>
              <w:t>杂志邮寄要求:赠阅范围为全省各市、区(县)应急管理局、消防救援队，安委会成员单位及重点企业，并于每月30日前按照赠阅对象地址信息邮寄杂志。</w:t>
            </w:r>
          </w:p>
          <w:p>
            <w:pPr>
              <w:pStyle w:val="null3"/>
              <w:jc w:val="both"/>
            </w:pPr>
            <w:r>
              <w:rPr>
                <w:rFonts w:ascii="仿宋_GB2312" w:hAnsi="仿宋_GB2312" w:cs="仿宋_GB2312" w:eastAsia="仿宋_GB2312"/>
                <w:sz w:val="28"/>
              </w:rPr>
              <w:t xml:space="preserve"> 3.</w:t>
            </w:r>
            <w:r>
              <w:rPr>
                <w:rFonts w:ascii="仿宋_GB2312" w:hAnsi="仿宋_GB2312" w:cs="仿宋_GB2312" w:eastAsia="仿宋_GB2312"/>
                <w:sz w:val="28"/>
              </w:rPr>
              <w:t>编采要求：具有固定场所和专业工作人员，安排专人负责杂志内容的采写、编校，负责采编人员差旅、交通费用，同时配合省厅做好各类专项活动的跟随报道。</w:t>
            </w:r>
          </w:p>
          <w:p>
            <w:pPr>
              <w:pStyle w:val="null3"/>
              <w:jc w:val="both"/>
            </w:pPr>
            <w:r>
              <w:rPr>
                <w:rFonts w:ascii="仿宋_GB2312" w:hAnsi="仿宋_GB2312" w:cs="仿宋_GB2312" w:eastAsia="仿宋_GB2312"/>
                <w:sz w:val="28"/>
              </w:rPr>
              <w:t xml:space="preserve"> 4.</w:t>
            </w:r>
            <w:r>
              <w:rPr>
                <w:rFonts w:ascii="仿宋_GB2312" w:hAnsi="仿宋_GB2312" w:cs="仿宋_GB2312" w:eastAsia="仿宋_GB2312"/>
                <w:sz w:val="28"/>
              </w:rPr>
              <w:t>配合应急业务工作新闻宣传需求，大力宣传陕西省应急管理领域的好做法、新成效，传播安全常识，讲好陕西应急管理工作的好故事，积极采编优质稿件。重要策划、重要内容及时上报采购方对口联系部门审核。</w:t>
            </w:r>
          </w:p>
          <w:p>
            <w:pPr>
              <w:pStyle w:val="null3"/>
              <w:jc w:val="both"/>
            </w:pPr>
            <w:r>
              <w:rPr>
                <w:rFonts w:ascii="仿宋_GB2312" w:hAnsi="仿宋_GB2312" w:cs="仿宋_GB2312" w:eastAsia="仿宋_GB2312"/>
                <w:sz w:val="28"/>
              </w:rPr>
              <w:t xml:space="preserve"> 5.</w:t>
            </w:r>
            <w:r>
              <w:rPr>
                <w:rFonts w:ascii="仿宋_GB2312" w:hAnsi="仿宋_GB2312" w:cs="仿宋_GB2312" w:eastAsia="仿宋_GB2312"/>
                <w:sz w:val="28"/>
              </w:rPr>
              <w:t>杂志内容或使用素材侵犯他人知识产权，责任由中标供应商全部承担。</w:t>
            </w:r>
          </w:p>
          <w:p>
            <w:pPr>
              <w:pStyle w:val="null3"/>
              <w:jc w:val="both"/>
            </w:pPr>
            <w:r>
              <w:rPr>
                <w:rFonts w:ascii="仿宋_GB2312" w:hAnsi="仿宋_GB2312" w:cs="仿宋_GB2312" w:eastAsia="仿宋_GB2312"/>
                <w:sz w:val="28"/>
              </w:rPr>
              <w:t xml:space="preserve"> 6. </w:t>
            </w:r>
            <w:r>
              <w:rPr>
                <w:rFonts w:ascii="仿宋_GB2312" w:hAnsi="仿宋_GB2312" w:cs="仿宋_GB2312" w:eastAsia="仿宋_GB2312"/>
                <w:sz w:val="28"/>
              </w:rPr>
              <w:t>杂志所有的开办费(编采、印刷，邮寄等)，人员工资、差旅、社保等费用全部由中标供应商承担。</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通过电子化交易系统投标，投标人除需在电子化交易系统上传投标文件外，开标当日，投标人应保持通讯畅通，以便出现询标时能及时在线。中标人在领取中标通知书前，需向采购代理机构提交加盖公章的纸质版投标文件正本壹份副本贰份，中标人应保持投标文件纸质版内容与系统上传内容完全一致，否则将承担一切法律责任。 （2）递交地点： 西安市未央区大明宫街道君城国际A座1703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审计报告、资产负债表、利润表、现金流量表、所有者权益变动表及其附注，成立时间至提交投标文件截止时间不足一年的可提供成立后任意时段的资产负债表），或其采购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法定代表人授权书及授权人身份证复印件，（法定代表人直接磋商时,只需提交法定代表人身份证）；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内部刊物准印证</w:t>
            </w:r>
          </w:p>
        </w:tc>
        <w:tc>
          <w:tcPr>
            <w:tcW w:type="dxa" w:w="3322"/>
          </w:tcPr>
          <w:p>
            <w:pPr>
              <w:pStyle w:val="null3"/>
            </w:pPr>
            <w:r>
              <w:rPr>
                <w:rFonts w:ascii="仿宋_GB2312" w:hAnsi="仿宋_GB2312" w:cs="仿宋_GB2312" w:eastAsia="仿宋_GB2312"/>
              </w:rPr>
              <w:t xml:space="preserve"> 提供有效的内部资料性出版物准印证；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响应文件按单一来源文件要求的数量、计量单位、报价货币及签字盖章</w:t>
            </w:r>
          </w:p>
        </w:tc>
        <w:tc>
          <w:tcPr>
            <w:tcW w:type="dxa" w:w="3322"/>
          </w:tcPr>
          <w:p>
            <w:pPr>
              <w:pStyle w:val="null3"/>
            </w:pPr>
            <w:r>
              <w:rPr>
                <w:rFonts w:ascii="仿宋_GB2312" w:hAnsi="仿宋_GB2312" w:cs="仿宋_GB2312" w:eastAsia="仿宋_GB2312"/>
              </w:rPr>
              <w:t>响应文件按单一来源文件要求的数量、计量单位、报价货币及签字盖章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响应报价唯一，未超出采购预算或单一来源文件规定的最高限价</w:t>
            </w:r>
          </w:p>
        </w:tc>
        <w:tc>
          <w:tcPr>
            <w:tcW w:type="dxa" w:w="1661"/>
          </w:tcPr>
          <w:p>
            <w:pPr>
              <w:pStyle w:val="null3"/>
            </w:pPr>
            <w:r>
              <w:rPr>
                <w:rFonts w:ascii="仿宋_GB2312" w:hAnsi="仿宋_GB2312" w:cs="仿宋_GB2312" w:eastAsia="仿宋_GB2312"/>
              </w:rPr>
              <w:t>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响应文件的有效期、服务期达到单一来源文件要求</w:t>
            </w:r>
          </w:p>
        </w:tc>
        <w:tc>
          <w:tcPr>
            <w:tcW w:type="dxa" w:w="3322"/>
          </w:tcPr>
          <w:p>
            <w:pPr>
              <w:pStyle w:val="null3"/>
            </w:pPr>
            <w:r>
              <w:rPr>
                <w:rFonts w:ascii="仿宋_GB2312" w:hAnsi="仿宋_GB2312" w:cs="仿宋_GB2312" w:eastAsia="仿宋_GB2312"/>
              </w:rPr>
              <w:t>响应文件的有效期、服务期达到单一来源文件要求</w:t>
            </w:r>
          </w:p>
        </w:tc>
        <w:tc>
          <w:tcPr>
            <w:tcW w:type="dxa" w:w="1661"/>
          </w:tcPr>
          <w:p>
            <w:pPr>
              <w:pStyle w:val="null3"/>
            </w:pPr>
            <w:r>
              <w:rPr>
                <w:rFonts w:ascii="仿宋_GB2312" w:hAnsi="仿宋_GB2312" w:cs="仿宋_GB2312" w:eastAsia="仿宋_GB2312"/>
              </w:rPr>
              <w:t>服务内容及服务邀请应答表 商务应答表 服务方案 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符合法律、法规和单一来源文件中规定的其他实质性要求</w:t>
            </w:r>
          </w:p>
        </w:tc>
        <w:tc>
          <w:tcPr>
            <w:tcW w:type="dxa" w:w="3322"/>
          </w:tcPr>
          <w:p>
            <w:pPr>
              <w:pStyle w:val="null3"/>
            </w:pPr>
            <w:r>
              <w:rPr>
                <w:rFonts w:ascii="仿宋_GB2312" w:hAnsi="仿宋_GB2312" w:cs="仿宋_GB2312" w:eastAsia="仿宋_GB2312"/>
              </w:rPr>
              <w:t>符合法律、法规和单一来源文件中规定的其他实质性要求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详见附件：合同模版(仅供参考).docx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