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版本号：FY2025-ZF-YJGL10620250610001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2025年与应急管理行业领域主流报刊合作项目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FY2025-ZF-YJGL106</w:t>
      </w:r>
      <w:r>
        <w:br/>
      </w:r>
      <w:r>
        <w:br/>
      </w:r>
      <w:r>
        <w:br/>
      </w:r>
    </w:p>
    <w:p>
      <w:pPr>
        <w:pStyle w:val="null3"/>
        <w:jc w:val="center"/>
        <w:outlineLvl w:val="5"/>
      </w:pPr>
      <w:r>
        <w:rPr>
          <w:rFonts w:ascii="仿宋_GB2312" w:hAnsi="仿宋_GB2312" w:cs="仿宋_GB2312" w:eastAsia="仿宋_GB2312"/>
          <w:sz w:val="15"/>
          <w:b/>
        </w:rPr>
        <w:t>陕西省应急管理厅</w:t>
      </w:r>
    </w:p>
    <w:p>
      <w:pPr>
        <w:pStyle w:val="null3"/>
        <w:jc w:val="center"/>
        <w:outlineLvl w:val="5"/>
      </w:pPr>
      <w:r>
        <w:rPr>
          <w:rFonts w:ascii="仿宋_GB2312" w:hAnsi="仿宋_GB2312" w:cs="仿宋_GB2312" w:eastAsia="仿宋_GB2312"/>
          <w:sz w:val="15"/>
          <w:b/>
        </w:rPr>
        <w:t>福元项目管理有限公司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福元项目管理有限公司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2025年与应急管理行业领域主流报刊合作项目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FY2025-ZF-YJGL106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2025年与应急管理行业领域主流报刊合作项目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与应急管理行业领域具有重要影响、专业权威的国家级主流报刊开展宣传合作，覆盖安全生产、应急救援、防灾减灾救灾等行业领域。搭建起我省与全国应急管理同频共振宣传渠道，通过对全省应急管理工作成效和特色亮点进行及时报道，积极宣介我省应急管理工作的新探索、新成效。结合治本攻坚三年行动，策划系列宣传报道。根据我省应急管理重点工作，推出头版稿件策划专题稿件。及时发布新闻信息稿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 ：具有独立承担民事责任能力的法人、其他组织或自然人，并出具合法有效的营业执照或事业单位法人证书等国家规定的相关证明，自然人参与的提供其身份证明；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7、法定代表人授权书及被授权人身份证：法定代表人授权书及授权人身份证复印件（法定代表人直接磋商时,只需提交法定代表人身份证）。</w:t>
      </w:r>
    </w:p>
    <w:p>
      <w:pPr>
        <w:pStyle w:val="null3"/>
      </w:pPr>
      <w:r>
        <w:rPr>
          <w:rFonts w:ascii="仿宋_GB2312" w:hAnsi="仿宋_GB2312" w:cs="仿宋_GB2312" w:eastAsia="仿宋_GB2312"/>
        </w:rPr>
        <w:t>8、报纸出版许可证： 须具备有效的《报纸出版许可证》。</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61166232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福元项目管理有限公司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西安市未央区大明宫街道君城国际A座1703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13909224219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代理服务费收费标准：1、招标代理服务费按约定由中标人支付，领取中标通知书前，由中标人向采购代理机构缴纳代理服务费，一次性付清。 2、招标代理服务费以中标金额为基数参照《国家计委关于印发&lt;招标代理服务收费管理暂行办法&gt;的通知》（计价格[2002]1980号）和国家发改委办公厅颁发的《关于招标代理服务收费有关问题的通知》（发改办价格[2003]857号）的有关规定按标准收取。3采购代理服务费以转账形式缴纳至以下账户 账户户名: 福元项目管理有限公司；开户行: 西安银行股份有限公司长庆支行；账号：116011580000143127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福元项目管理有限公司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福元项目管理有限公司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福元项目管理有限公司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福元项目管理有限公司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福元项目管理有限公司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与应急管理行业领域具有重要影响、专业权威的国家级主流报刊开展宣传合作，覆盖安全生产、应急救援、防灾减灾救灾等行业领域。搭建起我省与全国应急管理同频共振宣传渠道，通过对全省应急管理工作成效和特色亮点进行及时报道，积极宣介我省应急管理工作的新探索、新成效。结合治本攻坚三年行动，策划系列宣传报道。根据我省应急管理重点工作，推出头版稿件策划专题稿件。及时发布新闻信息稿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年与应急管理行业领域主流报刊合作项目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 年与应急管理行业领域主流报刊合作项目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陕西省应急管理厅与应急管理行业领域主流报刊通过整合优化有关人员和信息资源，进一步推动陕西省应急管理、安全生产宣传工作。</w:t>
            </w:r>
          </w:p>
          <w:p>
            <w:pPr>
              <w:pStyle w:val="null3"/>
              <w:ind w:firstLine="640"/>
              <w:jc w:val="both"/>
            </w:pPr>
            <w:r>
              <w:rPr>
                <w:rFonts w:ascii="仿宋_GB2312" w:hAnsi="仿宋_GB2312" w:cs="仿宋_GB2312" w:eastAsia="仿宋_GB2312"/>
                <w:sz w:val="32"/>
              </w:rPr>
              <w:t>（一）在应急管理行业领域主流报刊要闻版刊发陕西省应急管理厅指定的宣传内容，拟定一版头条6期，其他位置20篇。</w:t>
            </w:r>
          </w:p>
          <w:p>
            <w:pPr>
              <w:pStyle w:val="null3"/>
              <w:ind w:firstLine="640"/>
              <w:jc w:val="both"/>
            </w:pPr>
            <w:r>
              <w:rPr>
                <w:rFonts w:ascii="仿宋_GB2312" w:hAnsi="仿宋_GB2312" w:cs="仿宋_GB2312" w:eastAsia="仿宋_GB2312"/>
                <w:sz w:val="32"/>
              </w:rPr>
              <w:t>（二）在应急管理行业领域主流报刊刊发甲方组织、提供的专题整版10个，拟定选题如下：</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深度报道陕西省安全生产治本攻坚三年行动进展情况和采取的系列创新措施和有效办法。</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广泛宣传陕西省应急管理领域“为基层减负，为企业服务”的有效做法。</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陕西省各级应急管理部门切实提高风险隐患排查整改质量、提升发现问题和解决问题的能力水平的典型经验做法。</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宣传陕西省厅大力营造“人人讲安全、个个会应急”的浓厚氛围，筑牢安全生产和防灾减灾救援的人民防线的具体做法。</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以图文结合的形式，展示基层应急队伍不怕困难、不畏艰险，英勇善战、无私奉献，在事故灾难救援和自然灾害抢险中，发挥的巨大作用，作出的突出贡献。</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聚焦陕西省厅做好汛期前准备能力的实施办法，紧扣压实防汛责任、健全指挥体系、整治风险隐患、完善应急预案、强化队伍装备、做好汛情应对等汛期前重点工作的典型经验等。</w:t>
            </w:r>
          </w:p>
          <w:p>
            <w:pPr>
              <w:pStyle w:val="null3"/>
              <w:ind w:firstLine="640"/>
              <w:jc w:val="both"/>
            </w:pPr>
            <w:r>
              <w:rPr>
                <w:rFonts w:ascii="仿宋_GB2312" w:hAnsi="仿宋_GB2312" w:cs="仿宋_GB2312" w:eastAsia="仿宋_GB2312"/>
                <w:sz w:val="32"/>
              </w:rPr>
              <w:t>7.</w:t>
            </w:r>
            <w:r>
              <w:rPr>
                <w:rFonts w:ascii="仿宋_GB2312" w:hAnsi="仿宋_GB2312" w:cs="仿宋_GB2312" w:eastAsia="仿宋_GB2312"/>
                <w:sz w:val="32"/>
              </w:rPr>
              <w:t>聚焦“安全生产月”活动主题，紧扣危化品、道路交通、城镇燃气、建筑施工等重点行业和电动自行车、有限空间、金属冶炼、动火作业等重点环节，曝光存在的突出问题，强化典型事故教训吸取。同时，及时总结宣传服务帮扶的典型经验、推动提升企业本质安全水平的具体做法、为基层和企业解决实实在在问题的工作举措。</w:t>
            </w:r>
          </w:p>
          <w:p>
            <w:pPr>
              <w:pStyle w:val="null3"/>
              <w:ind w:firstLine="640"/>
              <w:jc w:val="both"/>
            </w:pPr>
            <w:r>
              <w:rPr>
                <w:rFonts w:ascii="仿宋_GB2312" w:hAnsi="仿宋_GB2312" w:cs="仿宋_GB2312" w:eastAsia="仿宋_GB2312"/>
                <w:sz w:val="32"/>
              </w:rPr>
              <w:t>8.</w:t>
            </w:r>
            <w:r>
              <w:rPr>
                <w:rFonts w:ascii="仿宋_GB2312" w:hAnsi="仿宋_GB2312" w:cs="仿宋_GB2312" w:eastAsia="仿宋_GB2312"/>
                <w:sz w:val="32"/>
              </w:rPr>
              <w:t>聚焦防汛防台风工作，选取重点镇街、村居，实地了解自然灾害防御工作，集中宣传报道强降雨、山洪、地质灾害防御的成功经验，突出宣传基层一线涌现的先进人物和典型事迹。</w:t>
            </w:r>
          </w:p>
          <w:p>
            <w:pPr>
              <w:pStyle w:val="null3"/>
              <w:ind w:firstLine="640"/>
              <w:jc w:val="both"/>
            </w:pPr>
            <w:r>
              <w:rPr>
                <w:rFonts w:ascii="仿宋_GB2312" w:hAnsi="仿宋_GB2312" w:cs="仿宋_GB2312" w:eastAsia="仿宋_GB2312"/>
                <w:sz w:val="32"/>
              </w:rPr>
              <w:t>9.</w:t>
            </w:r>
            <w:r>
              <w:rPr>
                <w:rFonts w:ascii="仿宋_GB2312" w:hAnsi="仿宋_GB2312" w:cs="仿宋_GB2312" w:eastAsia="仿宋_GB2312"/>
                <w:sz w:val="32"/>
              </w:rPr>
              <w:t>重点宣传陕西省推进森林防灭火新质能力建设的最新成果，突出宣传陕西省在解决森林防火两个普遍性突出问题的工作实践，集中宣传陕西省在压实责任体系、贯通指挥体系、织密群防体系和“以水灭火”牵引硬核装备建设的做法和成效。</w:t>
            </w:r>
          </w:p>
          <w:p>
            <w:pPr>
              <w:pStyle w:val="null3"/>
              <w:ind w:firstLine="640"/>
              <w:jc w:val="both"/>
            </w:pPr>
            <w:r>
              <w:rPr>
                <w:rFonts w:ascii="仿宋_GB2312" w:hAnsi="仿宋_GB2312" w:cs="仿宋_GB2312" w:eastAsia="仿宋_GB2312"/>
                <w:sz w:val="32"/>
              </w:rPr>
              <w:t>10.</w:t>
            </w:r>
            <w:r>
              <w:rPr>
                <w:rFonts w:ascii="仿宋_GB2312" w:hAnsi="仿宋_GB2312" w:cs="仿宋_GB2312" w:eastAsia="仿宋_GB2312"/>
                <w:sz w:val="32"/>
              </w:rPr>
              <w:t>聚焦落实中办、国办《关于进一步提升基层应急管理能力的意见》，深度挖掘和宣传陕西在提升基层应急管理组织指挥能力、提高基层安全风险防范能力、增强基层应急救援队伍实战能力、提升基层应急处置能力、强化基层应急管理支撑保障能力等方面的有益探索和工作成效。</w:t>
            </w:r>
          </w:p>
          <w:p>
            <w:pPr>
              <w:pStyle w:val="null3"/>
              <w:ind w:firstLine="640"/>
              <w:jc w:val="both"/>
            </w:pPr>
            <w:r>
              <w:rPr>
                <w:rFonts w:ascii="仿宋_GB2312" w:hAnsi="仿宋_GB2312" w:cs="仿宋_GB2312" w:eastAsia="仿宋_GB2312"/>
                <w:sz w:val="32"/>
              </w:rPr>
              <w:t>（三）在应急管理行业领域主流报刊其他版面刊发陕西省应急管理厅深度报道20次。</w:t>
            </w:r>
          </w:p>
          <w:p>
            <w:pPr>
              <w:pStyle w:val="null3"/>
              <w:ind w:firstLine="640"/>
              <w:jc w:val="both"/>
            </w:pPr>
            <w:r>
              <w:rPr>
                <w:rFonts w:ascii="仿宋_GB2312" w:hAnsi="仿宋_GB2312" w:cs="仿宋_GB2312" w:eastAsia="仿宋_GB2312"/>
                <w:sz w:val="32"/>
              </w:rPr>
              <w:t>（四）在应急管理行业领域主流报刊其他版面刊发陕西省应急管理厅指定的动态资讯100条。</w:t>
            </w:r>
          </w:p>
          <w:p>
            <w:pPr>
              <w:pStyle w:val="null3"/>
              <w:ind w:firstLine="640"/>
              <w:jc w:val="both"/>
            </w:pPr>
            <w:r>
              <w:rPr>
                <w:rFonts w:ascii="仿宋_GB2312" w:hAnsi="仿宋_GB2312" w:cs="仿宋_GB2312" w:eastAsia="仿宋_GB2312"/>
                <w:sz w:val="32"/>
              </w:rPr>
              <w:t>（五）在应急管理行业领域主流报刊所属官方微信公众号、视频号，加大对涉及陕西省应急管理厅重点资讯的关注度，合作期内，在</w:t>
            </w:r>
            <w:r>
              <w:rPr>
                <w:rFonts w:ascii="仿宋_GB2312" w:hAnsi="仿宋_GB2312" w:cs="仿宋_GB2312" w:eastAsia="仿宋_GB2312"/>
                <w:sz w:val="32"/>
              </w:rPr>
              <w:t>应急管理行业领域主流报刊</w:t>
            </w:r>
            <w:r>
              <w:rPr>
                <w:rFonts w:ascii="仿宋_GB2312" w:hAnsi="仿宋_GB2312" w:cs="仿宋_GB2312" w:eastAsia="仿宋_GB2312"/>
                <w:sz w:val="32"/>
              </w:rPr>
              <w:t>官方微信公众号推送陕西省厅相关资讯12次，视频号6次；为陕西省应急管理厅官方微信平台开通“中国应急管理”和“中国安全生产网”微信公号白名单权限。</w:t>
            </w:r>
          </w:p>
          <w:p>
            <w:pPr>
              <w:pStyle w:val="null3"/>
              <w:ind w:firstLine="640"/>
              <w:jc w:val="both"/>
            </w:pPr>
            <w:r>
              <w:rPr>
                <w:rFonts w:ascii="仿宋_GB2312" w:hAnsi="仿宋_GB2312" w:cs="仿宋_GB2312" w:eastAsia="仿宋_GB2312"/>
                <w:sz w:val="32"/>
              </w:rPr>
              <w:t>（六）在应急管理行业领域主流报刊所属官方网站开辟“陕西应急与安全”专栏，合作期内发布陕西省应急管理厅工作动态类资讯150篇。</w:t>
            </w:r>
          </w:p>
          <w:p>
            <w:pPr>
              <w:pStyle w:val="null3"/>
              <w:ind w:firstLine="640"/>
              <w:jc w:val="both"/>
            </w:pPr>
            <w:r>
              <w:rPr>
                <w:rFonts w:ascii="仿宋_GB2312" w:hAnsi="仿宋_GB2312" w:cs="仿宋_GB2312" w:eastAsia="仿宋_GB2312"/>
                <w:sz w:val="32"/>
              </w:rPr>
              <w:t>（七）合作期内，为陕西省应急管理厅提供应急管理行业领域主流报刊电子版账号10个。</w:t>
            </w:r>
          </w:p>
          <w:p>
            <w:pPr>
              <w:pStyle w:val="null3"/>
              <w:ind w:firstLine="640"/>
              <w:jc w:val="both"/>
            </w:pPr>
            <w:r>
              <w:rPr>
                <w:rFonts w:ascii="仿宋_GB2312" w:hAnsi="仿宋_GB2312" w:cs="仿宋_GB2312" w:eastAsia="仿宋_GB2312"/>
                <w:sz w:val="32"/>
              </w:rPr>
              <w:t>（八）应急管理行业领域主流报刊指派骨干力量作为授课老师赴陕西省应急管理厅参加新闻业务培训2人次。</w:t>
            </w:r>
          </w:p>
          <w:p>
            <w:pPr>
              <w:pStyle w:val="null3"/>
              <w:ind w:firstLine="640"/>
              <w:jc w:val="both"/>
            </w:pPr>
            <w:r>
              <w:rPr>
                <w:rFonts w:ascii="仿宋_GB2312" w:hAnsi="仿宋_GB2312" w:cs="仿宋_GB2312" w:eastAsia="仿宋_GB2312"/>
                <w:sz w:val="32"/>
              </w:rPr>
              <w:t>（九）搭建陕西省应急管理厅信息监测平台进行专项监测，包括开设监测栏目、设置监测关键词、制作年度信息报告,针对突发事件进行监测等。</w:t>
            </w:r>
          </w:p>
          <w:p>
            <w:pPr>
              <w:pStyle w:val="null3"/>
              <w:ind w:firstLine="640"/>
              <w:jc w:val="both"/>
            </w:pPr>
            <w:r>
              <w:rPr>
                <w:rFonts w:ascii="仿宋_GB2312" w:hAnsi="仿宋_GB2312" w:cs="仿宋_GB2312" w:eastAsia="仿宋_GB2312"/>
                <w:sz w:val="32"/>
              </w:rPr>
              <w:t>（十）与应急管理行业领域主流报刊在合作期内至少邀请3-4家具有影响力的媒体进行2次专题采访活动。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采购方指定的地点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通过电子化交易系统投标，投标人除需在电子化交易系统上传投标文件外，开标当日，投标人应保持通讯畅通，以便出现询标时能及时在线。中标人在领取中标通知书前，需向采购代理机构提交加盖公章的纸质版投标文件正本壹份副本贰份，中标人应保持投标文件纸质版内容与系统上传内容完全一致，否则将承担一切法律责任。 （2）递交地点： 西安市未央区大明宫街道君城国际A座1703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投标文件截止时间不足一年的可提供成立后任意时段的资产负债表），或其采购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法定代表人授权书及授权人身份证复印件（法定代表人直接磋商时,只需提交法定代表人身份证）。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报纸出版许可证</w:t>
            </w:r>
          </w:p>
        </w:tc>
        <w:tc>
          <w:tcPr>
            <w:tcW w:type="dxa" w:w="3322"/>
          </w:tcPr>
          <w:p>
            <w:pPr>
              <w:pStyle w:val="null3"/>
            </w:pPr>
            <w:r>
              <w:rPr>
                <w:rFonts w:ascii="仿宋_GB2312" w:hAnsi="仿宋_GB2312" w:cs="仿宋_GB2312" w:eastAsia="仿宋_GB2312"/>
              </w:rPr>
              <w:t xml:space="preserve"> 须具备有效的《报纸出版许可证》。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响应文件按单一来源文件要求的数量、计量单位、报价货币及签字盖章</w:t>
            </w:r>
          </w:p>
        </w:tc>
        <w:tc>
          <w:tcPr>
            <w:tcW w:type="dxa" w:w="3322"/>
          </w:tcPr>
          <w:p>
            <w:pPr>
              <w:pStyle w:val="null3"/>
            </w:pPr>
            <w:r>
              <w:rPr>
                <w:rFonts w:ascii="仿宋_GB2312" w:hAnsi="仿宋_GB2312" w:cs="仿宋_GB2312" w:eastAsia="仿宋_GB2312"/>
              </w:rPr>
              <w:t>响应文件按单一来源文件要求的数量、计量单位、报价货币及签字盖章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响应报价唯一，未超出采购预算或单一来源文件规定的最高限</w:t>
            </w:r>
          </w:p>
        </w:tc>
        <w:tc>
          <w:tcPr>
            <w:tcW w:type="dxa" w:w="1661"/>
          </w:tcPr>
          <w:p>
            <w:pPr>
              <w:pStyle w:val="null3"/>
            </w:pPr>
            <w:r>
              <w:rPr>
                <w:rFonts w:ascii="仿宋_GB2312" w:hAnsi="仿宋_GB2312" w:cs="仿宋_GB2312" w:eastAsia="仿宋_GB2312"/>
              </w:rPr>
              <w:t>服务内容及服务邀请应答表 商务应答表 供应商应提交的相关资格证明材料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响应文件的有效期、服务期达到单一来源文件要求</w:t>
            </w:r>
          </w:p>
        </w:tc>
        <w:tc>
          <w:tcPr>
            <w:tcW w:type="dxa" w:w="3322"/>
          </w:tcPr>
          <w:p>
            <w:pPr>
              <w:pStyle w:val="null3"/>
            </w:pPr>
            <w:r>
              <w:rPr>
                <w:rFonts w:ascii="仿宋_GB2312" w:hAnsi="仿宋_GB2312" w:cs="仿宋_GB2312" w:eastAsia="仿宋_GB2312"/>
              </w:rPr>
              <w:t>响应文件的有效期、服务期达到单一来源文件要求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符合法律、法规和单一来源文件中规定的其他实质性要求</w:t>
            </w:r>
          </w:p>
        </w:tc>
        <w:tc>
          <w:tcPr>
            <w:tcW w:type="dxa" w:w="3322"/>
          </w:tcPr>
          <w:p>
            <w:pPr>
              <w:pStyle w:val="null3"/>
            </w:pPr>
            <w:r>
              <w:rPr>
                <w:rFonts w:ascii="仿宋_GB2312" w:hAnsi="仿宋_GB2312" w:cs="仿宋_GB2312" w:eastAsia="仿宋_GB2312"/>
              </w:rPr>
              <w:t>符合法律、法规和单一来源文件中规定的其他实质性要求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