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版本号：ZX2024-11-62（2）20250603001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600M固体核磁共振波谱仪采购项目(二次)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ZX2024-11-62（2）</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600M固体核磁共振波谱仪采购项目(二次)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ZX2024-11-62（2）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600M固体核磁共振波谱仪采购项目(二次)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600M固体核磁共振波谱仪采购项目，1项，具体内容详见采购文件。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2、法定代表人授权委托书：法定代表人参加投标的，须出示身份证；法定代表人授权本单位他人参加投标的，须提供法定代表人授权委托书及被授权人身份证复印件。</w:t>
      </w:r>
    </w:p>
    <w:p>
      <w:pPr>
        <w:pStyle w:val="null3"/>
      </w:pPr>
      <w:r>
        <w:rPr>
          <w:rFonts w:ascii="仿宋_GB2312" w:hAnsi="仿宋_GB2312" w:cs="仿宋_GB2312" w:eastAsia="仿宋_GB2312"/>
        </w:rPr>
        <w:t>3、本项目不接受联合体投标：本项目不接受联合体投标，不允许分包。投标人应提供《非联合体不分包投标声明》。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029-86173142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柯敏 周楚杰 蔡丹 王琦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采购包1保证金金额：140,011.62元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开户名称：陕西正信招标有限公司（资金性质：保证金专用账户）</w:t>
            </w:r>
          </w:p>
          <w:p>
            <w:pPr>
              <w:pStyle w:val="null3"/>
            </w:pPr>
            <w:r>
              <w:rPr>
                <w:rFonts w:ascii="仿宋_GB2312" w:hAnsi="仿宋_GB2312" w:cs="仿宋_GB2312" w:eastAsia="仿宋_GB2312"/>
              </w:rPr>
              <w:t>开户银行：中国银行西安四府街支行</w:t>
            </w:r>
          </w:p>
          <w:p>
            <w:pPr>
              <w:pStyle w:val="null3"/>
            </w:pPr>
            <w:r>
              <w:rPr>
                <w:rFonts w:ascii="仿宋_GB2312" w:hAnsi="仿宋_GB2312" w:cs="仿宋_GB2312" w:eastAsia="仿宋_GB2312"/>
              </w:rPr>
              <w:t>银行账号：102500641590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300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代理服务费收费标准：1、本项目代理服务费按照成交金额的0.6%计取。 2、支付方式：成交供应商应在领取通知书的同时，支付本项目代理服务费。收款账户如下： 收款单位：陕西正信招标有限公司 开户银行：中国银行股份有限公司西安四府街支行 银行账号：102460065607 3、转账时请备注：241162项目服务费。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联系人：周楚杰 柯敏</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600M固体核磁共振波谱仪采购项目,1项，具体内容详见采购文件.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7,100,000.00</w:t>
      </w:r>
    </w:p>
    <w:p>
      <w:pPr>
        <w:pStyle w:val="null3"/>
      </w:pPr>
      <w:r>
        <w:rPr>
          <w:rFonts w:ascii="仿宋_GB2312" w:hAnsi="仿宋_GB2312" w:cs="仿宋_GB2312" w:eastAsia="仿宋_GB2312"/>
        </w:rPr>
        <w:t>采购包最高限价（元）: 7,100,000.00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西安工业大学600M固体核磁共振波谱仪采购项目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7,100,000.00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标的名称：西安工业大学600M固体核磁共振波谱仪采购项目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一、功能简述：</w:t>
            </w:r>
          </w:p>
          <w:p>
            <w:pPr>
              <w:pStyle w:val="null3"/>
            </w:pPr>
            <w:r>
              <w:rPr>
                <w:rFonts w:ascii="仿宋_GB2312" w:hAnsi="仿宋_GB2312" w:cs="仿宋_GB2312" w:eastAsia="仿宋_GB2312"/>
              </w:rPr>
              <w:t>应用于实验室的化学合成分子特性分析、混合物分析、固体材料分析、生物分子分析，操作简便、运行可靠的核磁共振系统。实现原子级别的样品超高分辨分析，分析包括元素分析，助力材料微观结构表征以及微观结构揭示性能作用机制。可以对用普通溶剂溶解的样品进行自动的核磁分析。</w:t>
            </w:r>
          </w:p>
          <w:p>
            <w:pPr>
              <w:pStyle w:val="null3"/>
            </w:pPr>
            <w:r>
              <w:rPr>
                <w:rFonts w:ascii="仿宋_GB2312" w:hAnsi="仿宋_GB2312" w:cs="仿宋_GB2312" w:eastAsia="仿宋_GB2312"/>
              </w:rPr>
              <w:t>二、具体性能指标：</w:t>
            </w:r>
          </w:p>
          <w:p>
            <w:pPr>
              <w:pStyle w:val="null3"/>
            </w:pPr>
            <w:r>
              <w:rPr>
                <w:rFonts w:ascii="仿宋_GB2312" w:hAnsi="仿宋_GB2312" w:cs="仿宋_GB2312" w:eastAsia="仿宋_GB2312"/>
              </w:rPr>
              <w:t>所提供的波谱仪具有最新的核磁共振实验功能，含有2个射频发射通道，能以正向和反向方式进行检测的接收通道，氘核锁场，氘梯度自动匀场，探头全自动调谐和匹配，Z轴脉冲梯度场，具有变温实验功能，具有获得最佳一维和二维谱图的数据处理速度和存储能力。</w:t>
            </w:r>
          </w:p>
          <w:p>
            <w:pPr>
              <w:pStyle w:val="null3"/>
            </w:pPr>
            <w:r>
              <w:rPr>
                <w:rFonts w:ascii="仿宋_GB2312" w:hAnsi="仿宋_GB2312" w:cs="仿宋_GB2312" w:eastAsia="仿宋_GB2312"/>
              </w:rPr>
              <w:t>1.主机基本指标</w:t>
            </w:r>
          </w:p>
          <w:p>
            <w:pPr>
              <w:pStyle w:val="null3"/>
            </w:pPr>
            <w:r>
              <w:rPr>
                <w:rFonts w:ascii="仿宋_GB2312" w:hAnsi="仿宋_GB2312" w:cs="仿宋_GB2312" w:eastAsia="仿宋_GB2312"/>
              </w:rPr>
              <w:t>1.1磁体：磁场强度≥14T</w:t>
            </w:r>
          </w:p>
          <w:p>
            <w:pPr>
              <w:pStyle w:val="null3"/>
            </w:pPr>
            <w:r>
              <w:rPr>
                <w:rFonts w:ascii="仿宋_GB2312" w:hAnsi="仿宋_GB2312" w:cs="仿宋_GB2312" w:eastAsia="仿宋_GB2312"/>
              </w:rPr>
              <w:t>1.2室温腔直径： ≥50 mm</w:t>
            </w:r>
          </w:p>
          <w:p>
            <w:pPr>
              <w:pStyle w:val="null3"/>
            </w:pPr>
            <w:r>
              <w:rPr>
                <w:rFonts w:ascii="仿宋_GB2312" w:hAnsi="仿宋_GB2312" w:cs="仿宋_GB2312" w:eastAsia="仿宋_GB2312"/>
              </w:rPr>
              <w:t>1.3磁场漂移：≤ 5Hz/h</w:t>
            </w:r>
          </w:p>
          <w:p>
            <w:pPr>
              <w:pStyle w:val="null3"/>
            </w:pPr>
            <w:r>
              <w:rPr>
                <w:rFonts w:ascii="仿宋_GB2312" w:hAnsi="仿宋_GB2312" w:cs="仿宋_GB2312" w:eastAsia="仿宋_GB2312"/>
              </w:rPr>
              <w:t>1.4 5高斯强度处横向距离：≤ 0.7 m；</w:t>
            </w:r>
          </w:p>
          <w:p>
            <w:pPr>
              <w:pStyle w:val="null3"/>
            </w:pPr>
            <w:r>
              <w:rPr>
                <w:rFonts w:ascii="仿宋_GB2312" w:hAnsi="仿宋_GB2312" w:cs="仿宋_GB2312" w:eastAsia="仿宋_GB2312"/>
              </w:rPr>
              <w:t>1.5 5高斯强度处纵向距离：≤ 1.4 m</w:t>
            </w:r>
          </w:p>
          <w:p>
            <w:pPr>
              <w:pStyle w:val="null3"/>
            </w:pPr>
            <w:r>
              <w:rPr>
                <w:rFonts w:ascii="仿宋_GB2312" w:hAnsi="仿宋_GB2312" w:cs="仿宋_GB2312" w:eastAsia="仿宋_GB2312"/>
              </w:rPr>
              <w:t>1.6液氦保持时间：≥ 200天</w:t>
            </w:r>
          </w:p>
          <w:p>
            <w:pPr>
              <w:pStyle w:val="null3"/>
            </w:pPr>
            <w:r>
              <w:rPr>
                <w:rFonts w:ascii="仿宋_GB2312" w:hAnsi="仿宋_GB2312" w:cs="仿宋_GB2312" w:eastAsia="仿宋_GB2312"/>
              </w:rPr>
              <w:t>1.7液氮维持时间：≥ 15天</w:t>
            </w:r>
          </w:p>
          <w:p>
            <w:pPr>
              <w:pStyle w:val="null3"/>
            </w:pPr>
            <w:r>
              <w:rPr>
                <w:rFonts w:ascii="仿宋_GB2312" w:hAnsi="仿宋_GB2312" w:cs="仿宋_GB2312" w:eastAsia="仿宋_GB2312"/>
              </w:rPr>
              <w:t>1.8射频通道数：2个</w:t>
            </w:r>
          </w:p>
          <w:p>
            <w:pPr>
              <w:pStyle w:val="null3"/>
            </w:pPr>
            <w:r>
              <w:rPr>
                <w:rFonts w:ascii="仿宋_GB2312" w:hAnsi="仿宋_GB2312" w:cs="仿宋_GB2312" w:eastAsia="仿宋_GB2312"/>
              </w:rPr>
              <w:t>1.9各通道具有的功能：观察、脉冲、去偶、频率合成、模数转换</w:t>
            </w:r>
          </w:p>
          <w:p>
            <w:pPr>
              <w:pStyle w:val="null3"/>
            </w:pPr>
            <w:r>
              <w:rPr>
                <w:rFonts w:ascii="仿宋_GB2312" w:hAnsi="仿宋_GB2312" w:cs="仿宋_GB2312" w:eastAsia="仿宋_GB2312"/>
              </w:rPr>
              <w:t>▲1.10频率分辨率：≤0.001Hz</w:t>
            </w:r>
          </w:p>
          <w:p>
            <w:pPr>
              <w:pStyle w:val="null3"/>
            </w:pPr>
            <w:r>
              <w:rPr>
                <w:rFonts w:ascii="仿宋_GB2312" w:hAnsi="仿宋_GB2312" w:cs="仿宋_GB2312" w:eastAsia="仿宋_GB2312"/>
              </w:rPr>
              <w:t>▲1.11相位分辨率：≤0.005°</w:t>
            </w:r>
          </w:p>
          <w:p>
            <w:pPr>
              <w:pStyle w:val="null3"/>
            </w:pPr>
            <w:r>
              <w:rPr>
                <w:rFonts w:ascii="仿宋_GB2312" w:hAnsi="仿宋_GB2312" w:cs="仿宋_GB2312" w:eastAsia="仿宋_GB2312"/>
              </w:rPr>
              <w:t>1.12第一通道1H/19F功放最大输出功率：≥ 100W</w:t>
            </w:r>
          </w:p>
          <w:p>
            <w:pPr>
              <w:pStyle w:val="null3"/>
            </w:pPr>
            <w:r>
              <w:rPr>
                <w:rFonts w:ascii="仿宋_GB2312" w:hAnsi="仿宋_GB2312" w:cs="仿宋_GB2312" w:eastAsia="仿宋_GB2312"/>
              </w:rPr>
              <w:t>1.13第二通道X多核功放最大输出功率：≥ 300W</w:t>
            </w:r>
          </w:p>
          <w:p>
            <w:pPr>
              <w:pStyle w:val="null3"/>
            </w:pPr>
            <w:r>
              <w:rPr>
                <w:rFonts w:ascii="仿宋_GB2312" w:hAnsi="仿宋_GB2312" w:cs="仿宋_GB2312" w:eastAsia="仿宋_GB2312"/>
              </w:rPr>
              <w:t>1.14频率范围：5-1300 MHz</w:t>
            </w:r>
          </w:p>
          <w:p>
            <w:pPr>
              <w:pStyle w:val="null3"/>
            </w:pPr>
            <w:r>
              <w:rPr>
                <w:rFonts w:ascii="仿宋_GB2312" w:hAnsi="仿宋_GB2312" w:cs="仿宋_GB2312" w:eastAsia="仿宋_GB2312"/>
              </w:rPr>
              <w:t>1.15时间分辨率：≤ 5 ns</w:t>
            </w:r>
          </w:p>
          <w:p>
            <w:pPr>
              <w:pStyle w:val="null3"/>
            </w:pPr>
            <w:r>
              <w:rPr>
                <w:rFonts w:ascii="仿宋_GB2312" w:hAnsi="仿宋_GB2312" w:cs="仿宋_GB2312" w:eastAsia="仿宋_GB2312"/>
              </w:rPr>
              <w:t>1.16幅度全范围：≥ 155dB</w:t>
            </w:r>
          </w:p>
          <w:p>
            <w:pPr>
              <w:pStyle w:val="null3"/>
            </w:pPr>
            <w:r>
              <w:rPr>
                <w:rFonts w:ascii="仿宋_GB2312" w:hAnsi="仿宋_GB2312" w:cs="仿宋_GB2312" w:eastAsia="仿宋_GB2312"/>
              </w:rPr>
              <w:t>1.17最大谱宽：≥ 10 MHz</w:t>
            </w:r>
          </w:p>
          <w:p>
            <w:pPr>
              <w:pStyle w:val="null3"/>
            </w:pPr>
            <w:r>
              <w:rPr>
                <w:rFonts w:ascii="仿宋_GB2312" w:hAnsi="仿宋_GB2312" w:cs="仿宋_GB2312" w:eastAsia="仿宋_GB2312"/>
              </w:rPr>
              <w:t>1.18包括与探头匹配的多用途前置放大器</w:t>
            </w:r>
          </w:p>
          <w:p>
            <w:pPr>
              <w:pStyle w:val="null3"/>
            </w:pPr>
            <w:r>
              <w:rPr>
                <w:rFonts w:ascii="仿宋_GB2312" w:hAnsi="仿宋_GB2312" w:cs="仿宋_GB2312" w:eastAsia="仿宋_GB2312"/>
              </w:rPr>
              <w:t>1.19氘数字锁场及梯度匀场系统，包括自动／手动匀场系统、精确的1.20氘梯度自动匀场</w:t>
            </w:r>
          </w:p>
          <w:p>
            <w:pPr>
              <w:pStyle w:val="null3"/>
            </w:pPr>
            <w:r>
              <w:rPr>
                <w:rFonts w:ascii="仿宋_GB2312" w:hAnsi="仿宋_GB2312" w:cs="仿宋_GB2312" w:eastAsia="仿宋_GB2312"/>
              </w:rPr>
              <w:t>1.20 Z方向射频脉冲梯度场最大强度：≥ 30G/cm</w:t>
            </w:r>
          </w:p>
          <w:p>
            <w:pPr>
              <w:pStyle w:val="null3"/>
            </w:pPr>
            <w:r>
              <w:rPr>
                <w:rFonts w:ascii="仿宋_GB2312" w:hAnsi="仿宋_GB2312" w:cs="仿宋_GB2312" w:eastAsia="仿宋_GB2312"/>
              </w:rPr>
              <w:t>1.21智能控温系统，配有数字化变温传感器和气流监控</w:t>
            </w:r>
          </w:p>
          <w:p>
            <w:pPr>
              <w:pStyle w:val="null3"/>
            </w:pPr>
            <w:r>
              <w:rPr>
                <w:rFonts w:ascii="仿宋_GB2312" w:hAnsi="仿宋_GB2312" w:cs="仿宋_GB2312" w:eastAsia="仿宋_GB2312"/>
              </w:rPr>
              <w:t>1.22梯度场最大电流：10A</w:t>
            </w:r>
          </w:p>
          <w:p>
            <w:pPr>
              <w:pStyle w:val="null3"/>
            </w:pPr>
            <w:r>
              <w:rPr>
                <w:rFonts w:ascii="仿宋_GB2312" w:hAnsi="仿宋_GB2312" w:cs="仿宋_GB2312" w:eastAsia="仿宋_GB2312"/>
              </w:rPr>
              <w:t>1.23控温范围：-170℃-+250℃（需要配备低温附件实现室温以下）</w:t>
            </w:r>
          </w:p>
          <w:p>
            <w:pPr>
              <w:pStyle w:val="null3"/>
            </w:pPr>
            <w:r>
              <w:rPr>
                <w:rFonts w:ascii="仿宋_GB2312" w:hAnsi="仿宋_GB2312" w:cs="仿宋_GB2312" w:eastAsia="仿宋_GB2312"/>
              </w:rPr>
              <w:t>1.24精度：≤ ±0.1℃</w:t>
            </w:r>
          </w:p>
          <w:p>
            <w:pPr>
              <w:pStyle w:val="null3"/>
            </w:pPr>
            <w:r>
              <w:rPr>
                <w:rFonts w:ascii="仿宋_GB2312" w:hAnsi="仿宋_GB2312" w:cs="仿宋_GB2312" w:eastAsia="仿宋_GB2312"/>
              </w:rPr>
              <w:t>2. 液体探头指标</w:t>
            </w:r>
          </w:p>
          <w:p>
            <w:pPr>
              <w:pStyle w:val="null3"/>
            </w:pPr>
            <w:r>
              <w:rPr>
                <w:rFonts w:ascii="仿宋_GB2312" w:hAnsi="仿宋_GB2312" w:cs="仿宋_GB2312" w:eastAsia="仿宋_GB2312"/>
              </w:rPr>
              <w:t>2.1 600MHz 5 mm 自动调谐宽带探头，具有自屏蔽Z方向梯度场</w:t>
            </w:r>
          </w:p>
          <w:p>
            <w:pPr>
              <w:pStyle w:val="null3"/>
            </w:pPr>
            <w:r>
              <w:rPr>
                <w:rFonts w:ascii="仿宋_GB2312" w:hAnsi="仿宋_GB2312" w:cs="仿宋_GB2312" w:eastAsia="仿宋_GB2312"/>
              </w:rPr>
              <w:t>2.1.1检测核范围：1H；19F；杂核（31P – 15N）</w:t>
            </w:r>
          </w:p>
          <w:p>
            <w:pPr>
              <w:pStyle w:val="null3"/>
            </w:pPr>
            <w:r>
              <w:rPr>
                <w:rFonts w:ascii="仿宋_GB2312" w:hAnsi="仿宋_GB2312" w:cs="仿宋_GB2312" w:eastAsia="仿宋_GB2312"/>
              </w:rPr>
              <w:t>2.1.2信噪比：</w:t>
            </w:r>
          </w:p>
          <w:p>
            <w:pPr>
              <w:pStyle w:val="null3"/>
            </w:pPr>
            <w:r>
              <w:rPr>
                <w:rFonts w:ascii="仿宋_GB2312" w:hAnsi="仿宋_GB2312" w:cs="仿宋_GB2312" w:eastAsia="仿宋_GB2312"/>
              </w:rPr>
              <w:t>▲2.1.2.1  1H ≥ 1050:1 (0.1%EB, 555-ppt或相同壁厚样品管，一次扫描）</w:t>
            </w:r>
          </w:p>
          <w:p>
            <w:pPr>
              <w:pStyle w:val="null3"/>
            </w:pPr>
            <w:r>
              <w:rPr>
                <w:rFonts w:ascii="仿宋_GB2312" w:hAnsi="仿宋_GB2312" w:cs="仿宋_GB2312" w:eastAsia="仿宋_GB2312"/>
              </w:rPr>
              <w:t>2.1.2.2 13C ≥ 360:1 (10%EB, 555-ppt或相同壁厚样品管，一次扫描）</w:t>
            </w:r>
          </w:p>
          <w:p>
            <w:pPr>
              <w:pStyle w:val="null3"/>
            </w:pPr>
            <w:r>
              <w:rPr>
                <w:rFonts w:ascii="仿宋_GB2312" w:hAnsi="仿宋_GB2312" w:cs="仿宋_GB2312" w:eastAsia="仿宋_GB2312"/>
              </w:rPr>
              <w:t>2.1.2.3 31P ≥ 200:1 (0.0485M TPP, 一次扫描)</w:t>
            </w:r>
          </w:p>
          <w:p>
            <w:pPr>
              <w:pStyle w:val="null3"/>
            </w:pPr>
            <w:r>
              <w:rPr>
                <w:rFonts w:ascii="仿宋_GB2312" w:hAnsi="仿宋_GB2312" w:cs="仿宋_GB2312" w:eastAsia="仿宋_GB2312"/>
              </w:rPr>
              <w:t>2.1.2.4  15N ≥ 45:1 (90% Formamide,一次扫描）</w:t>
            </w:r>
          </w:p>
          <w:p>
            <w:pPr>
              <w:pStyle w:val="null3"/>
            </w:pPr>
            <w:r>
              <w:rPr>
                <w:rFonts w:ascii="仿宋_GB2312" w:hAnsi="仿宋_GB2312" w:cs="仿宋_GB2312" w:eastAsia="仿宋_GB2312"/>
              </w:rPr>
              <w:t>2.1.2.5  19F ≥ 1050:1 (0.05% TFT, 一次扫描）</w:t>
            </w:r>
          </w:p>
          <w:p>
            <w:pPr>
              <w:pStyle w:val="null3"/>
            </w:pPr>
            <w:r>
              <w:rPr>
                <w:rFonts w:ascii="仿宋_GB2312" w:hAnsi="仿宋_GB2312" w:cs="仿宋_GB2312" w:eastAsia="仿宋_GB2312"/>
              </w:rPr>
              <w:t>2.1.2.6 分辨率和线形：1H spinning ≤ 0.5/6/12Hz (50%/0.55%/0.11%, CHCl3)</w:t>
            </w:r>
          </w:p>
          <w:p>
            <w:pPr>
              <w:pStyle w:val="null3"/>
            </w:pPr>
            <w:r>
              <w:rPr>
                <w:rFonts w:ascii="仿宋_GB2312" w:hAnsi="仿宋_GB2312" w:cs="仿宋_GB2312" w:eastAsia="仿宋_GB2312"/>
              </w:rPr>
              <w:t>2.1.2.7 Z-梯度场最大强度：≥ 30G/cm</w:t>
            </w:r>
          </w:p>
          <w:p>
            <w:pPr>
              <w:pStyle w:val="null3"/>
            </w:pPr>
            <w:r>
              <w:rPr>
                <w:rFonts w:ascii="仿宋_GB2312" w:hAnsi="仿宋_GB2312" w:cs="仿宋_GB2312" w:eastAsia="仿宋_GB2312"/>
              </w:rPr>
              <w:t>2.1.2.8探头变温范围：-100℃ - +150℃</w:t>
            </w:r>
          </w:p>
          <w:p>
            <w:pPr>
              <w:pStyle w:val="null3"/>
            </w:pPr>
            <w:r>
              <w:rPr>
                <w:rFonts w:ascii="仿宋_GB2312" w:hAnsi="仿宋_GB2312" w:cs="仿宋_GB2312" w:eastAsia="仿宋_GB2312"/>
              </w:rPr>
              <w:t>2.1.2.9 探头配有所有观测核种的自动调谐与匹配附件</w:t>
            </w:r>
          </w:p>
          <w:p>
            <w:pPr>
              <w:pStyle w:val="null3"/>
            </w:pPr>
            <w:r>
              <w:rPr>
                <w:rFonts w:ascii="仿宋_GB2312" w:hAnsi="仿宋_GB2312" w:cs="仿宋_GB2312" w:eastAsia="仿宋_GB2312"/>
              </w:rPr>
              <w:t>2.1.2.10 探头采用折返式气路设计，高温气体不会直接吹至转子，高温实验无需使用特殊的陶瓷转子</w:t>
            </w:r>
          </w:p>
          <w:p>
            <w:pPr>
              <w:pStyle w:val="null3"/>
            </w:pPr>
            <w:r>
              <w:rPr>
                <w:rFonts w:ascii="仿宋_GB2312" w:hAnsi="仿宋_GB2312" w:cs="仿宋_GB2312" w:eastAsia="仿宋_GB2312"/>
              </w:rPr>
              <w:t>3、固体核磁探头</w:t>
            </w:r>
          </w:p>
          <w:p>
            <w:pPr>
              <w:pStyle w:val="null3"/>
            </w:pPr>
            <w:r>
              <w:rPr>
                <w:rFonts w:ascii="仿宋_GB2312" w:hAnsi="仿宋_GB2312" w:cs="仿宋_GB2312" w:eastAsia="仿宋_GB2312"/>
              </w:rPr>
              <w:t>3.1 600MHz 3.2mm 固体核磁双共振探头，可观测高频1H，19F核，低频X杂核，配有相应的装样工具</w:t>
            </w:r>
          </w:p>
          <w:p>
            <w:pPr>
              <w:pStyle w:val="null3"/>
            </w:pPr>
            <w:r>
              <w:rPr>
                <w:rFonts w:ascii="仿宋_GB2312" w:hAnsi="仿宋_GB2312" w:cs="仿宋_GB2312" w:eastAsia="仿宋_GB2312"/>
              </w:rPr>
              <w:t>3.1.1最高转速可达21-22KHz</w:t>
            </w:r>
          </w:p>
          <w:p>
            <w:pPr>
              <w:pStyle w:val="null3"/>
            </w:pPr>
            <w:r>
              <w:rPr>
                <w:rFonts w:ascii="仿宋_GB2312" w:hAnsi="仿宋_GB2312" w:cs="仿宋_GB2312" w:eastAsia="仿宋_GB2312"/>
              </w:rPr>
              <w:t>3.1.2信噪比：13C ≥ 370:1（HMB，8次扫描）</w:t>
            </w:r>
          </w:p>
          <w:p>
            <w:pPr>
              <w:pStyle w:val="null3"/>
            </w:pPr>
            <w:r>
              <w:rPr>
                <w:rFonts w:ascii="仿宋_GB2312" w:hAnsi="仿宋_GB2312" w:cs="仿宋_GB2312" w:eastAsia="仿宋_GB2312"/>
              </w:rPr>
              <w:t>3.1.3分辨率：13C ≤ 0.05ppm（ADM,13C FWHM）</w:t>
            </w:r>
          </w:p>
          <w:p>
            <w:pPr>
              <w:pStyle w:val="null3"/>
            </w:pPr>
            <w:r>
              <w:rPr>
                <w:rFonts w:ascii="仿宋_GB2312" w:hAnsi="仿宋_GB2312" w:cs="仿宋_GB2312" w:eastAsia="仿宋_GB2312"/>
              </w:rPr>
              <w:t>3.1.4温度范围：-20℃ - +80℃</w:t>
            </w:r>
          </w:p>
          <w:p>
            <w:pPr>
              <w:pStyle w:val="null3"/>
            </w:pPr>
            <w:r>
              <w:rPr>
                <w:rFonts w:ascii="仿宋_GB2312" w:hAnsi="仿宋_GB2312" w:cs="仿宋_GB2312" w:eastAsia="仿宋_GB2312"/>
              </w:rPr>
              <w:t>3.1.5配有氧化锆材质的样品管8个</w:t>
            </w:r>
          </w:p>
          <w:p>
            <w:pPr>
              <w:pStyle w:val="null3"/>
            </w:pPr>
            <w:r>
              <w:rPr>
                <w:rFonts w:ascii="仿宋_GB2312" w:hAnsi="仿宋_GB2312" w:cs="仿宋_GB2312" w:eastAsia="仿宋_GB2312"/>
              </w:rPr>
              <w:t>4.数据采集处理工作设备及输出设备：</w:t>
            </w:r>
          </w:p>
          <w:p>
            <w:pPr>
              <w:pStyle w:val="null3"/>
            </w:pPr>
            <w:r>
              <w:rPr>
                <w:rFonts w:ascii="仿宋_GB2312" w:hAnsi="仿宋_GB2312" w:cs="仿宋_GB2312" w:eastAsia="仿宋_GB2312"/>
              </w:rPr>
              <w:t>4.1用户友好型界面,易于上手，简单的导航系统；</w:t>
            </w:r>
          </w:p>
          <w:p>
            <w:pPr>
              <w:pStyle w:val="null3"/>
            </w:pPr>
            <w:r>
              <w:rPr>
                <w:rFonts w:ascii="仿宋_GB2312" w:hAnsi="仿宋_GB2312" w:cs="仿宋_GB2312" w:eastAsia="仿宋_GB2312"/>
              </w:rPr>
              <w:t>4.2包含常用的核磁实验方法。例如，1H, 13C, DEPT, COSY, NOESY, TOCSY,COSY,HMBC,HSQC 等各种核磁方法，具有完整的网络功能；</w:t>
            </w:r>
          </w:p>
          <w:p>
            <w:pPr>
              <w:pStyle w:val="null3"/>
            </w:pPr>
            <w:r>
              <w:rPr>
                <w:rFonts w:ascii="仿宋_GB2312" w:hAnsi="仿宋_GB2312" w:cs="仿宋_GB2312" w:eastAsia="仿宋_GB2312"/>
              </w:rPr>
              <w:t>▲4.3 包括No-D NMR标准实验方法软件，用户可简单地实现自动无氘代溶剂的样品检测。</w:t>
            </w:r>
          </w:p>
          <w:p>
            <w:pPr>
              <w:pStyle w:val="null3"/>
            </w:pPr>
            <w:r>
              <w:rPr>
                <w:rFonts w:ascii="仿宋_GB2312" w:hAnsi="仿宋_GB2312" w:cs="仿宋_GB2312" w:eastAsia="仿宋_GB2312"/>
              </w:rPr>
              <w:t>4.4 包括定量核磁软件；</w:t>
            </w:r>
          </w:p>
          <w:p>
            <w:pPr>
              <w:pStyle w:val="null3"/>
            </w:pPr>
            <w:r>
              <w:rPr>
                <w:rFonts w:ascii="仿宋_GB2312" w:hAnsi="仿宋_GB2312" w:cs="仿宋_GB2312" w:eastAsia="仿宋_GB2312"/>
              </w:rPr>
              <w:t>5、其它配套附件</w:t>
            </w:r>
          </w:p>
          <w:p>
            <w:pPr>
              <w:pStyle w:val="null3"/>
            </w:pPr>
            <w:r>
              <w:rPr>
                <w:rFonts w:ascii="仿宋_GB2312" w:hAnsi="仿宋_GB2312" w:cs="仿宋_GB2312" w:eastAsia="仿宋_GB2312"/>
              </w:rPr>
              <w:t>5.1标样、专用工具等保证设备主机使用的成套性附件</w:t>
            </w:r>
          </w:p>
          <w:p>
            <w:pPr>
              <w:pStyle w:val="null3"/>
            </w:pPr>
            <w:r>
              <w:rPr>
                <w:rFonts w:ascii="仿宋_GB2312" w:hAnsi="仿宋_GB2312" w:cs="仿宋_GB2312" w:eastAsia="仿宋_GB2312"/>
              </w:rPr>
              <w:t>5.2 无油空压机（带空气过滤器）一套</w:t>
            </w:r>
          </w:p>
          <w:p>
            <w:pPr>
              <w:pStyle w:val="null3"/>
            </w:pPr>
            <w:r>
              <w:rPr>
                <w:rFonts w:ascii="仿宋_GB2312" w:hAnsi="仿宋_GB2312" w:cs="仿宋_GB2312" w:eastAsia="仿宋_GB2312"/>
              </w:rPr>
              <w:t>5.3 安装所需的液氦、液氮</w:t>
            </w:r>
          </w:p>
          <w:p>
            <w:pPr>
              <w:pStyle w:val="null3"/>
            </w:pPr>
            <w:r>
              <w:rPr>
                <w:rFonts w:ascii="仿宋_GB2312" w:hAnsi="仿宋_GB2312" w:cs="仿宋_GB2312" w:eastAsia="仿宋_GB2312"/>
              </w:rPr>
              <w:t>5.4 原装24位自动进样器及配套高温实验用的24个高温转子</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合同签订后300日内货到采购人指定地点； 安装调试验收时间：合同签订后330日内；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进口设备：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货到西安工业大学指定地点经验收合格后，采购人15日内支付成交金额的100%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（1）投标货物生产商必须在境内设有售后服务中心； (2) 投标方必须提供原厂明确的售后承诺和售后服务方案； (3) 质保期：仪器设备质保期3年，质保期自买方验收签字之日起计算；质保期内的零部件、配件(不含耗材)和人工等均为免费；质保期内，责任工程师不少于3次回访，免费提供不小于1次维修保养服务，免费提供维修所用的全部零部件(不含耗材)； (4) 设备质保期满前1个月，卖方免费提供一次全面的检查、维护； (5) 维保服务：质保期结束以后，责任工程师每年定期回访客户不少于3次，及时为设备进行检查和问诊； (6) 以上所有售后服务承诺均需由原厂提供，并由当地的授权维修负责人签字，原厂盖章（未提供原厂盖章的售后服务承诺者，评分办法中“售后方案及承诺”项不得分）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1、标的清单具体内容根据法律规定公布主要标的的名称、规格型号、数量、单价。 本项目主要标的：同核心产品 2、为顺利推进政府采购电子化交易平台应用工作，投标人需要在线提交所有通 过电子化交易平台实施的政府采购项目的投标文件，同时，线下提交投标文件正本壹份、副本贰份、电子版壹份（U盘一份标 明投标人名称，随正本密封）。若电子投标文件与纸质投标文件不一致的，以电子投标文件为准；若正本和副本不符，以正本为准。线下递交文件时间：详见本项目招标公告文件截止时间；线下递交文件地点：西安市莲湖区环城西路南段元晟合中心6层。 3、投标保证金注意事项：（1）投标保证金须从投标人户名支付，如从个人户名或非投标人户名支付，将被拒绝，视为自动放弃投标权利（该个人是供应商的情形除外）；投标保证金缴纳时间：开标时间之前；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 （4）未按指定账户提交的，我公司将退回，投标人须在文件递交截止时间前按照指定账户再次提交。 4、中标人无正当理由 拒签合同的，或在接到中标通知书规定的时间内，借故拖延、拒签合同者，采购人取消其中标资格，其投标保证金不予退还； 给采购人造成的损失超过投标保证金数额的，中标人还应对超过部分予以赔偿。同时报请政府采购监督机构通报全省，取消其进入政府采购市场的资格，并按规定予以处罚。 5、其他要求：（1）本项目允许采购进口产品。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供应商应当按磋商文件规定的供货及服务要求、责任范围和合同条件，以人民币进行报价。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出）全部内容。 因采购人具有科教免税资格，进口设备可以报免税报价，报价需含外贸代理服务费（本类设备能否免税，供应商需在海关免税目录中自行查询确认）。不在教科文减免范围的设备应按含税开展报价。免税报价包含外贸代理服务费。 （3）支付条件相关要求： 国产设备： 货到西安工业大学指定地点经验收合格后，采购人15日内支付成交金额的100%； 进口设备： 采购人通过委托的外贸公司向中标供应商指定的境外厂商开具100%不可撤销即期跟单信用证。货到采购人指定地点后，信用证90%的合同货款凭外贸合同约定单据及西安工业大学出具的开箱点货报告原件解付；剩余10%合同尾款凭西安工业大学出具的设备终验验收报告原件解付。(4)本项目信用证办理前有信用保证金预付款保函或资金采购人监管的要求；预付款保函办理费由中标人承担（办理费用通常为1%以内，供应商若采用采购人监管保证金账号的，采购人有权扣除预付款保函办理费）； 预付款保函期限：1年（根据到货期需要可以适当延长时限）保函有效期不短于全部货物抵达采购人指定地点所约定时间，具体以合同签订为准； 预付款保函受益人：西安工业大学； 预付款保函形式：中标供应商出具银行成交等额预付款保函原件，采购人支付货款的100%办理信用证，货到采购人指定地点后，采购人退还预付款保函原件。收到中标通知书后2日内，中标供应商应携带相关资料前往西安工业大学进行合同签订准备。因供应商原因导致的未顺利签订合同或无法付款造成损失，均由供应商承担。本项目投标有效期为300日历日，中标单位投标有效期自动延长至本项目履约结束后。 （5）在合同履行过程中，如发生合同纠纷，合同双方应按照中华人民共和国法律解释，按照《中华人民共和国民法典》规定及合同条款约定进行处理。本项目已通过进口产品论证，投标文件中接受外文资料，但主要部分仍应尽量对应翻译成中文并附在相关外文资料后面。因无对应翻译或不一致产生的问题，按不利于供应商的原则进行处理。本项目不强制要求文件第2.4.4知识产权第二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2023年11月1日以来任意一个月的纳税证明或完税证明，纳税证明或完税证明上应有代收机构或税务机关的公章或业务专用章；其他组织和自然人提供自2023年11月1日以来任意一个月缴纳税收的凭据；依法免税的投标人应提供相关文件证明 ③社会保障资金缴纳证明：提供自2023年11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投标函 2资格证明文件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法人提供会计师事务所出具的有效的2023年度或2024年度审计报告（成立时间至提交投标文件截止时间不足一年的可提供成立后任意时段的资产负债表），或提交自2024年5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2资格证明文件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2资格证明文件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2资格证明文件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2资格证明文件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5技术响应与偏离表 投标文件封面 4承诺书 3商务部分偏离表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投标文件的初步符合性审查</w:t>
            </w:r>
          </w:p>
        </w:tc>
        <w:tc>
          <w:tcPr>
            <w:tcW w:type="dxa" w:w="3322"/>
          </w:tcPr>
          <w:p>
            <w:pPr>
              <w:pStyle w:val="null3"/>
            </w:pPr>
            <w:r>
              <w:rPr>
                <w:rFonts w:ascii="仿宋_GB2312" w:hAnsi="仿宋_GB2312" w:cs="仿宋_GB2312" w:eastAsia="仿宋_GB2312"/>
              </w:rPr>
              <w:t>有下列情形之一的，应在符合性审查时按照无效投标处理： (1)投标文件未按照招标文件规定要求签署、盖章的； (2)不满足本招标文件中“交货时间、交货地点、采购资金的支付方式及约定、质量保修范围和保修期”的实质性条款要 求的； (3)投标有效期不足的或无有效期的（有效期前后不一致等情形可以由评标委员会发起澄清）； (4)报价超过招标文件中规定的预算金额或最高限价的；(5)法律、法规和招标文件规定的其他无效情形。</w:t>
            </w:r>
          </w:p>
        </w:tc>
        <w:tc>
          <w:tcPr>
            <w:tcW w:type="dxa" w:w="1661"/>
          </w:tcPr>
          <w:p>
            <w:pPr>
              <w:pStyle w:val="null3"/>
            </w:pPr>
            <w:r>
              <w:rPr>
                <w:rFonts w:ascii="仿宋_GB2312" w:hAnsi="仿宋_GB2312" w:cs="仿宋_GB2312" w:eastAsia="仿宋_GB2312"/>
              </w:rPr>
              <w:t>1分项价格表 投标函 5技术响应与偏离表 标的清单 投标文件封面 4承诺书 3商务部分偏离表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基本分30分：完全符合、响应招标文件要求，且配置内容全面、完整，没有负偏离计30分；“▲”号参数为重要技术指标，负偏离一项扣2分，非“▲”号参数每负偏离一项扣0.5分。“▲”号指标必须提供佐证材料（包括但不限于检测报告或产品彩页或带网址链接的官网截图或盖厂家公章的技术参数说明或盖厂家公章功能截图等技术支持性文件），否则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6技术参数</w:t>
            </w:r>
          </w:p>
        </w:tc>
      </w:tr>
      <w:tr>
        <w:tc>
          <w:tcPr>
            <w:tcW w:type="dxa" w:w="831"/>
            <w:vMerge/>
          </w:tcP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针对本项目采购人要求的服务内容有完整、明确的需求理解，解读全面，掌握相关项目情况，贴近项目，贴合需求满足招标文件要求，无瑕疵：6分； 内容存在1处瑕疵：4分； 内容存在2处瑕疵：2分； 未提供方案或不满足招标文件要求或内容存在3处及以上瑕疵：0分；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7需求理解</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针对本项目提供完整、具体可行的 整体实施方案。 满足招标文件要求，无瑕疵：8分； 内容存在1处瑕疵：6分； 内容存在2处瑕疵：4分； 内容存在3处瑕疵：2分； 未提供方案或不满足招标文件要求或内容存在5处及以上瑕疵：0分；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8整体实施方案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供应商针对本项目提供完整、具体可行的质量保障措施。 满足招标文件要求，无瑕疵：6分； 内容存在1处瑕疵：4分； 内容存在2处瑕疵：2分； 未提供方案或不满足招标文件要求或内容存在3处及以上瑕疵：0分；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9质量保障措施</w:t>
            </w:r>
          </w:p>
        </w:tc>
      </w:tr>
      <w:tr>
        <w:tc>
          <w:tcPr>
            <w:tcW w:type="dxa" w:w="831"/>
            <w:vMerge/>
          </w:tcPr>
          <w:p/>
        </w:tc>
        <w:tc>
          <w:tcPr>
            <w:tcW w:type="dxa" w:w="1661"/>
          </w:tcPr>
          <w:p>
            <w:pPr>
              <w:pStyle w:val="null3"/>
            </w:pPr>
            <w:r>
              <w:rPr>
                <w:rFonts w:ascii="仿宋_GB2312" w:hAnsi="仿宋_GB2312" w:cs="仿宋_GB2312" w:eastAsia="仿宋_GB2312"/>
              </w:rPr>
              <w:t>供货组织方案</w:t>
            </w:r>
          </w:p>
        </w:tc>
        <w:tc>
          <w:tcPr>
            <w:tcW w:type="dxa" w:w="2492"/>
          </w:tcPr>
          <w:p>
            <w:pPr>
              <w:pStyle w:val="null3"/>
            </w:pPr>
            <w:r>
              <w:rPr>
                <w:rFonts w:ascii="仿宋_GB2312" w:hAnsi="仿宋_GB2312" w:cs="仿宋_GB2312" w:eastAsia="仿宋_GB2312"/>
              </w:rPr>
              <w:t>投标人针对本项目有具体的供货组织方案，方案应至少包括但不限于详细的人员、财力调配、运输、派送措施及设备验收方案，以及确保按时发货、运货、安装的时效保障措施等，就其方案是否合理科学，措施得当，是否针对本项目供货组织方案实施提出重点、难点及其解决方案等进行综合评审赋分。 满足招标文件要求，无瑕疵：6分； 方案内容存在1处瑕疵4分； 方案内容存在2处瑕疵2分； 未提供方案或内容存在3处及以上瑕疵：0分；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10供货组织方案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提供投标人2021年1月1日至今同类项目合同(以合同签订日期为准)，每提供1个得1分，最高得4分。 备注：投标文件中提供合同复印件加盖公章。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方案应至少包括但不限于售后服务计划，相应的物力、人力、场所保障（保障及时有效的完成售后服务），定期的维保维护计划，针对高校特点提供的针对性培训计划及方案，售后考核方案及承诺，安全应急预案等，就其方案是否合理科学，措施得当赋分。未按要求提供售后服务承诺函的，本项不得分。满足招标文件要求，无瑕疵：5分； 方案内容存在1处瑕疵3分； 方案内容存在2处瑕疵1分； 未提供方案或内容存在3处及以上瑕疵：0分；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12售后服务</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投标人针对本项目有具体的培训方案，方案应至少包括但不限于培训服务计划，硬件保障、场所保障，针对高校特点提供的针对性培训计划及方案。就其方案是否合理科学，措施得当进行综合评审赋分。 满足招标文件要求，无瑕疵：4分； 方案内容存在1处瑕疵2分； 未提供方案或内容存在2处及以上瑕疵：0分；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13培训方案</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得0.5分，每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14节能环保</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格分统一采用低价优先法计算， 即满足招标文件要求且投标价格最 低的投标报价为评标基准价，其价格分为满分。其他投标人的价格分统一按照下列公式计算：价格分= (评标基准价／投标报价)×报价分值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w:t>
      </w:r>
    </w:p>
    <w:p>
      <w:pPr>
        <w:pStyle w:val="null3"/>
        <w:ind w:firstLine="960"/>
      </w:pPr>
      <w:r>
        <w:rPr>
          <w:rFonts w:ascii="仿宋_GB2312" w:hAnsi="仿宋_GB2312" w:cs="仿宋_GB2312" w:eastAsia="仿宋_GB2312"/>
        </w:rPr>
        <w:t>详见附件：2资格证明文件</w:t>
      </w:r>
    </w:p>
    <w:p>
      <w:pPr>
        <w:pStyle w:val="null3"/>
        <w:ind w:firstLine="960"/>
      </w:pPr>
      <w:r>
        <w:rPr>
          <w:rFonts w:ascii="仿宋_GB2312" w:hAnsi="仿宋_GB2312" w:cs="仿宋_GB2312" w:eastAsia="仿宋_GB2312"/>
        </w:rPr>
        <w:t>详见附件：3商务部分偏离表</w:t>
      </w:r>
    </w:p>
    <w:p>
      <w:pPr>
        <w:pStyle w:val="null3"/>
        <w:ind w:firstLine="960"/>
      </w:pPr>
      <w:r>
        <w:rPr>
          <w:rFonts w:ascii="仿宋_GB2312" w:hAnsi="仿宋_GB2312" w:cs="仿宋_GB2312" w:eastAsia="仿宋_GB2312"/>
        </w:rPr>
        <w:t>详见附件：4承诺书</w:t>
      </w:r>
    </w:p>
    <w:p>
      <w:pPr>
        <w:pStyle w:val="null3"/>
        <w:ind w:firstLine="960"/>
      </w:pPr>
      <w:r>
        <w:rPr>
          <w:rFonts w:ascii="仿宋_GB2312" w:hAnsi="仿宋_GB2312" w:cs="仿宋_GB2312" w:eastAsia="仿宋_GB2312"/>
        </w:rPr>
        <w:t>详见附件：5技术响应与偏离表</w:t>
      </w:r>
    </w:p>
    <w:p>
      <w:pPr>
        <w:pStyle w:val="null3"/>
        <w:ind w:firstLine="960"/>
      </w:pPr>
      <w:r>
        <w:rPr>
          <w:rFonts w:ascii="仿宋_GB2312" w:hAnsi="仿宋_GB2312" w:cs="仿宋_GB2312" w:eastAsia="仿宋_GB2312"/>
        </w:rPr>
        <w:t>详见附件：6技术参数</w:t>
      </w:r>
    </w:p>
    <w:p>
      <w:pPr>
        <w:pStyle w:val="null3"/>
        <w:ind w:firstLine="960"/>
      </w:pPr>
      <w:r>
        <w:rPr>
          <w:rFonts w:ascii="仿宋_GB2312" w:hAnsi="仿宋_GB2312" w:cs="仿宋_GB2312" w:eastAsia="仿宋_GB2312"/>
        </w:rPr>
        <w:t>详见附件：7需求理解</w:t>
      </w:r>
    </w:p>
    <w:p>
      <w:pPr>
        <w:pStyle w:val="null3"/>
        <w:ind w:firstLine="960"/>
      </w:pPr>
      <w:r>
        <w:rPr>
          <w:rFonts w:ascii="仿宋_GB2312" w:hAnsi="仿宋_GB2312" w:cs="仿宋_GB2312" w:eastAsia="仿宋_GB2312"/>
        </w:rPr>
        <w:t>详见附件：8整体实施方案</w:t>
      </w:r>
    </w:p>
    <w:p>
      <w:pPr>
        <w:pStyle w:val="null3"/>
        <w:ind w:firstLine="960"/>
      </w:pPr>
      <w:r>
        <w:rPr>
          <w:rFonts w:ascii="仿宋_GB2312" w:hAnsi="仿宋_GB2312" w:cs="仿宋_GB2312" w:eastAsia="仿宋_GB2312"/>
        </w:rPr>
        <w:t>详见附件：9质量保障措施</w:t>
      </w:r>
    </w:p>
    <w:p>
      <w:pPr>
        <w:pStyle w:val="null3"/>
        <w:ind w:firstLine="960"/>
      </w:pPr>
      <w:r>
        <w:rPr>
          <w:rFonts w:ascii="仿宋_GB2312" w:hAnsi="仿宋_GB2312" w:cs="仿宋_GB2312" w:eastAsia="仿宋_GB2312"/>
        </w:rPr>
        <w:t>详见附件：10供货组织方案</w:t>
      </w:r>
    </w:p>
    <w:p>
      <w:pPr>
        <w:pStyle w:val="null3"/>
        <w:ind w:firstLine="960"/>
      </w:pPr>
      <w:r>
        <w:rPr>
          <w:rFonts w:ascii="仿宋_GB2312" w:hAnsi="仿宋_GB2312" w:cs="仿宋_GB2312" w:eastAsia="仿宋_GB2312"/>
        </w:rPr>
        <w:t>详见附件：11业绩</w:t>
      </w:r>
    </w:p>
    <w:p>
      <w:pPr>
        <w:pStyle w:val="null3"/>
        <w:ind w:firstLine="960"/>
      </w:pPr>
      <w:r>
        <w:rPr>
          <w:rFonts w:ascii="仿宋_GB2312" w:hAnsi="仿宋_GB2312" w:cs="仿宋_GB2312" w:eastAsia="仿宋_GB2312"/>
        </w:rPr>
        <w:t>详见附件：12售后服务</w:t>
      </w:r>
    </w:p>
    <w:p>
      <w:pPr>
        <w:pStyle w:val="null3"/>
        <w:ind w:firstLine="960"/>
      </w:pPr>
      <w:r>
        <w:rPr>
          <w:rFonts w:ascii="仿宋_GB2312" w:hAnsi="仿宋_GB2312" w:cs="仿宋_GB2312" w:eastAsia="仿宋_GB2312"/>
        </w:rPr>
        <w:t>详见附件：13培训方案</w:t>
      </w:r>
    </w:p>
    <w:p>
      <w:pPr>
        <w:pStyle w:val="null3"/>
        <w:ind w:firstLine="960"/>
      </w:pPr>
      <w:r>
        <w:rPr>
          <w:rFonts w:ascii="仿宋_GB2312" w:hAnsi="仿宋_GB2312" w:cs="仿宋_GB2312" w:eastAsia="仿宋_GB2312"/>
        </w:rPr>
        <w:t>详见附件：14节能环保</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详见附件：合同文本（600M）.docx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