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版本号：KY2025-1-64820250630001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大气污染治理专项行动督查帮扶及监督帮扶重点监测数据抽测服务项目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KY2025-1-648</w:t>
      </w:r>
      <w:r>
        <w:br/>
      </w:r>
      <w:r>
        <w:br/>
      </w:r>
      <w:r>
        <w:br/>
      </w:r>
    </w:p>
    <w:p>
      <w:pPr>
        <w:pStyle w:val="null3"/>
        <w:jc w:val="center"/>
        <w:outlineLvl w:val="2"/>
      </w:pPr>
      <w:r>
        <w:rPr>
          <w:rFonts w:ascii="仿宋_GB2312" w:hAnsi="仿宋_GB2312" w:cs="仿宋_GB2312" w:eastAsia="仿宋_GB2312"/>
          <w:sz w:val="28"/>
          <w:b/>
        </w:rPr>
        <w:t>陕西省生态环境执法总队</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陕西省生态环境执法总队</w:t>
      </w:r>
      <w:r>
        <w:rPr>
          <w:rFonts w:ascii="仿宋_GB2312" w:hAnsi="仿宋_GB2312" w:cs="仿宋_GB2312" w:eastAsia="仿宋_GB2312"/>
        </w:rPr>
        <w:t>委托，拟对</w:t>
      </w:r>
      <w:r>
        <w:rPr>
          <w:rFonts w:ascii="仿宋_GB2312" w:hAnsi="仿宋_GB2312" w:cs="仿宋_GB2312" w:eastAsia="仿宋_GB2312"/>
        </w:rPr>
        <w:t>大气污染治理专项行动督查帮扶及监督帮扶重点监测数据抽测服务项目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KY2025-1-648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大气污染治理专项行动督查帮扶及监督帮扶重点监测数据抽测服务项目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陕西省生态环境执法总队大气污染治理专项行动督查帮扶及监督帮扶重点监测数据抽测服务项目分为：采购包1：执法监测；采购包2：走航执法辅助；采购包3：无人机执法辅助。具体内容详见招标文件第三章。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采购包1（采购包1：执法监测）：属于专门面向中小企业采购。</w:t>
      </w:r>
    </w:p>
    <w:p>
      <w:pPr>
        <w:pStyle w:val="null3"/>
      </w:pPr>
      <w:r>
        <w:rPr>
          <w:rFonts w:ascii="仿宋_GB2312" w:hAnsi="仿宋_GB2312" w:cs="仿宋_GB2312" w:eastAsia="仿宋_GB2312"/>
        </w:rPr>
        <w:t>采购包2（采购包2：走航执法辅助）：属于专门面向中小企业采购。</w:t>
      </w:r>
    </w:p>
    <w:p>
      <w:pPr>
        <w:pStyle w:val="null3"/>
      </w:pPr>
      <w:r>
        <w:rPr>
          <w:rFonts w:ascii="仿宋_GB2312" w:hAnsi="仿宋_GB2312" w:cs="仿宋_GB2312" w:eastAsia="仿宋_GB2312"/>
        </w:rPr>
        <w:t>采购包3（采购包3：无人机执法辅助）：属于专门面向中小企业采购。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6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8、声明函：本项目专门面向中小企业采购，投标人须提供声明函。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6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8、声明函：本项目专门面向中小企业采购，投标人须提供声明函。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6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8、声明函：本项目专门面向中小企业采购，投标人须提供声明函。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陕西省生态环境执法总队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西安市西影路112号陕西环保综合办公楼11层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029-85429258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采购包1：1,550,000.00元</w:t>
            </w:r>
          </w:p>
          <w:p>
            <w:pPr>
              <w:pStyle w:val="null3"/>
            </w:pPr>
            <w:r>
              <w:rPr>
                <w:rFonts w:ascii="仿宋_GB2312" w:hAnsi="仿宋_GB2312" w:cs="仿宋_GB2312" w:eastAsia="仿宋_GB2312"/>
              </w:rPr>
              <w:t>采购包2：1,000,000.00元</w:t>
            </w:r>
          </w:p>
          <w:p>
            <w:pPr>
              <w:pStyle w:val="null3"/>
            </w:pPr>
            <w:r>
              <w:rPr>
                <w:rFonts w:ascii="仿宋_GB2312" w:hAnsi="仿宋_GB2312" w:cs="仿宋_GB2312" w:eastAsia="仿宋_GB2312"/>
              </w:rPr>
              <w:t>采购包3：450,000.00元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采购包3保证金金额：5,000.00元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银行账号：86113010750181502000110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说明：1、中标供应商凭中标通知书向采购人缴纳中标金额的5%作为履约保证金，待合同履约完毕后无息退还。2、履约保证金缴纳形式为银行出具的有效期内的履约担保函。</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说明：1、中标供应商凭中标通知书向采购人缴纳中标金额的5%作为履约保证金，待合同履约完毕后无息退还。2、履约保证金缴纳形式为银行出具的有效期内的履约担保函。</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说明：1、中标供应商凭中标通知书向采购人缴纳中标金额的5%作为履约保证金，待合同履约完毕后无息退还。2、履约保证金缴纳形式为银行出具的有效期内的履约担保函。</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代理服务费收费标准：交费金额参照国家计委颁布的《招标代理服务收费管理暂行办法》（计价格[2002]1980号）及发改办价格[2003]857号文件规定的招标代理服务收费标准执行。本项目代理服务费按服务计取。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陕西省生态环境执法总队</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陕西省生态环境执法总队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陕西省生态环境执法总队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联系人：杭琨、韩婷</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陕西省生态环境执法总队大气污染治理专项行动督查帮扶及监督帮扶重点监测数据抽测服务项目分为：采购包1：执法监测；采购包2：走航执法辅助；采购包3：无人机执法辅助。具体内容详见采购需求。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1,550,000.00</w:t>
      </w:r>
    </w:p>
    <w:p>
      <w:pPr>
        <w:pStyle w:val="null3"/>
      </w:pPr>
      <w:r>
        <w:rPr>
          <w:rFonts w:ascii="仿宋_GB2312" w:hAnsi="仿宋_GB2312" w:cs="仿宋_GB2312" w:eastAsia="仿宋_GB2312"/>
        </w:rPr>
        <w:t>采购包最高限价（元）: 1,550,000.00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执法监测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走航执法辅助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无人机执法辅助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标的名称：执法监测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一、项目概况</w:t>
            </w:r>
          </w:p>
          <w:p>
            <w:pPr>
              <w:pStyle w:val="null3"/>
              <w:ind w:firstLine="480"/>
            </w:pPr>
            <w:r>
              <w:rPr>
                <w:rFonts w:ascii="仿宋_GB2312" w:hAnsi="仿宋_GB2312" w:cs="仿宋_GB2312" w:eastAsia="仿宋_GB2312"/>
                <w:sz w:val="24"/>
              </w:rPr>
              <w:t>本项目依托第三方服务机构为采购人提供大气污染治理专项行动督查帮扶及监督帮扶重点监测数据抽测服务项目</w:t>
            </w:r>
            <w:r>
              <w:rPr>
                <w:rFonts w:ascii="仿宋_GB2312" w:hAnsi="仿宋_GB2312" w:cs="仿宋_GB2312" w:eastAsia="仿宋_GB2312"/>
                <w:sz w:val="24"/>
              </w:rPr>
              <w:t>，</w:t>
            </w:r>
            <w:r>
              <w:rPr>
                <w:rFonts w:ascii="仿宋_GB2312" w:hAnsi="仿宋_GB2312" w:cs="仿宋_GB2312" w:eastAsia="仿宋_GB2312"/>
                <w:sz w:val="24"/>
              </w:rPr>
              <w:t>以西安市、咸阳市、渭南市为重点，在关中各市（区）重点领域、重点区域、重点行业进行现场抽查、数据验证。</w:t>
            </w:r>
            <w:r>
              <w:rPr>
                <w:rFonts w:ascii="仿宋_GB2312" w:hAnsi="仿宋_GB2312" w:cs="仿宋_GB2312" w:eastAsia="仿宋_GB2312"/>
                <w:sz w:val="24"/>
              </w:rPr>
              <w:t>其中：</w:t>
            </w:r>
            <w:r>
              <w:rPr>
                <w:rFonts w:ascii="仿宋_GB2312" w:hAnsi="仿宋_GB2312" w:cs="仿宋_GB2312" w:eastAsia="仿宋_GB2312"/>
                <w:sz w:val="24"/>
              </w:rPr>
              <w:t>涉气</w:t>
            </w:r>
            <w:r>
              <w:rPr>
                <w:rFonts w:ascii="仿宋_GB2312" w:hAnsi="仿宋_GB2312" w:cs="仿宋_GB2312" w:eastAsia="仿宋_GB2312"/>
                <w:sz w:val="24"/>
              </w:rPr>
              <w:t>3个因子（氮氧化物、二氧化硫、颗粒物）（100个</w:t>
            </w:r>
            <w:r>
              <w:rPr>
                <w:rFonts w:ascii="仿宋_GB2312" w:hAnsi="仿宋_GB2312" w:cs="仿宋_GB2312" w:eastAsia="仿宋_GB2312"/>
                <w:sz w:val="24"/>
              </w:rPr>
              <w:t>点位</w:t>
            </w:r>
            <w:r>
              <w:rPr>
                <w:rFonts w:ascii="仿宋_GB2312" w:hAnsi="仿宋_GB2312" w:cs="仿宋_GB2312" w:eastAsia="仿宋_GB2312"/>
                <w:sz w:val="24"/>
              </w:rPr>
              <w:t>）；挥发性有机物执法监测苯、甲苯、二甲苯、非甲烷总</w:t>
            </w:r>
            <w:r>
              <w:rPr>
                <w:rFonts w:ascii="仿宋_GB2312" w:hAnsi="仿宋_GB2312" w:cs="仿宋_GB2312" w:eastAsia="仿宋_GB2312"/>
                <w:sz w:val="24"/>
                <w:color w:val="000000"/>
              </w:rPr>
              <w:t>烃等</w:t>
            </w:r>
            <w:r>
              <w:rPr>
                <w:rFonts w:ascii="仿宋_GB2312" w:hAnsi="仿宋_GB2312" w:cs="仿宋_GB2312" w:eastAsia="仿宋_GB2312"/>
                <w:sz w:val="24"/>
                <w:color w:val="000000"/>
              </w:rPr>
              <w:t>10余项因子（50个</w:t>
            </w:r>
            <w:r>
              <w:rPr>
                <w:rFonts w:ascii="仿宋_GB2312" w:hAnsi="仿宋_GB2312" w:cs="仿宋_GB2312" w:eastAsia="仿宋_GB2312"/>
                <w:sz w:val="24"/>
                <w:color w:val="000000"/>
              </w:rPr>
              <w:t>点位</w:t>
            </w:r>
            <w:r>
              <w:rPr>
                <w:rFonts w:ascii="仿宋_GB2312" w:hAnsi="仿宋_GB2312" w:cs="仿宋_GB2312" w:eastAsia="仿宋_GB2312"/>
                <w:sz w:val="24"/>
              </w:rPr>
              <w:t>）；重型柴油车、燃气车及非道路柴油移动机械尾气排放检测（</w:t>
            </w:r>
            <w:r>
              <w:rPr>
                <w:rFonts w:ascii="仿宋_GB2312" w:hAnsi="仿宋_GB2312" w:cs="仿宋_GB2312" w:eastAsia="仿宋_GB2312"/>
                <w:sz w:val="24"/>
              </w:rPr>
              <w:t>360台次）；垃圾焚烧发电执法监测（18个</w:t>
            </w:r>
            <w:r>
              <w:rPr>
                <w:rFonts w:ascii="仿宋_GB2312" w:hAnsi="仿宋_GB2312" w:cs="仿宋_GB2312" w:eastAsia="仿宋_GB2312"/>
                <w:sz w:val="24"/>
              </w:rPr>
              <w:t>点位</w:t>
            </w:r>
            <w:r>
              <w:rPr>
                <w:rFonts w:ascii="仿宋_GB2312" w:hAnsi="仿宋_GB2312" w:cs="仿宋_GB2312" w:eastAsia="仿宋_GB2312"/>
                <w:sz w:val="24"/>
              </w:rPr>
              <w:t>）；要求服务标准满足国家及行业验收标准。</w:t>
            </w:r>
          </w:p>
          <w:p>
            <w:pPr>
              <w:pStyle w:val="null3"/>
            </w:pPr>
            <w:r>
              <w:rPr>
                <w:rFonts w:ascii="仿宋_GB2312" w:hAnsi="仿宋_GB2312" w:cs="仿宋_GB2312" w:eastAsia="仿宋_GB2312"/>
                <w:sz w:val="24"/>
                <w:b/>
              </w:rPr>
              <w:t>二、服务内容</w:t>
            </w:r>
          </w:p>
          <w:tbl>
            <w:tblPr>
              <w:tblInd w:type="dxa" w:w="120"/>
              <w:tblBorders>
                <w:top w:val="none" w:color="000000" w:sz="4"/>
                <w:left w:val="none" w:color="000000" w:sz="4"/>
                <w:bottom w:val="none" w:color="000000" w:sz="4"/>
                <w:right w:val="none" w:color="000000" w:sz="4"/>
                <w:insideH w:val="none"/>
                <w:insideV w:val="none"/>
              </w:tblBorders>
            </w:tblPr>
            <w:tblGrid>
              <w:gridCol w:w="279"/>
              <w:gridCol w:w="279"/>
              <w:gridCol w:w="160"/>
              <w:gridCol w:w="359"/>
              <w:gridCol w:w="958"/>
              <w:gridCol w:w="517"/>
            </w:tblGrid>
            <w:tr>
              <w:tc>
                <w:tcPr>
                  <w:tcW w:type="dxa" w:w="2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类型</w:t>
                  </w:r>
                </w:p>
              </w:tc>
              <w:tc>
                <w:tcPr>
                  <w:tcW w:type="dxa" w:w="2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污染物类别</w:t>
                  </w:r>
                </w:p>
              </w:tc>
              <w:tc>
                <w:tcPr>
                  <w:tcW w:type="dxa" w:w="1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序号</w:t>
                  </w:r>
                </w:p>
              </w:tc>
              <w:tc>
                <w:tcPr>
                  <w:tcW w:type="dxa" w:w="3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污染物项目</w:t>
                  </w:r>
                </w:p>
              </w:tc>
              <w:tc>
                <w:tcPr>
                  <w:tcW w:type="dxa" w:w="9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分析方法</w:t>
                  </w:r>
                </w:p>
              </w:tc>
              <w:tc>
                <w:tcPr>
                  <w:tcW w:type="dxa" w:w="5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参考标准编号</w:t>
                  </w:r>
                </w:p>
              </w:tc>
            </w:tr>
            <w:tr>
              <w:tc>
                <w:tcPr>
                  <w:tcW w:type="dxa" w:w="27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涉气三参数</w:t>
                  </w:r>
                </w:p>
              </w:tc>
              <w:tc>
                <w:tcPr>
                  <w:tcW w:type="dxa" w:w="27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有组织</w:t>
                  </w:r>
                </w:p>
                <w:p>
                  <w:pPr>
                    <w:pStyle w:val="null3"/>
                    <w:jc w:val="center"/>
                  </w:pPr>
                  <w:r>
                    <w:rPr>
                      <w:rFonts w:ascii="仿宋_GB2312" w:hAnsi="仿宋_GB2312" w:cs="仿宋_GB2312" w:eastAsia="仿宋_GB2312"/>
                      <w:sz w:val="24"/>
                    </w:rPr>
                    <w:t>无组织</w:t>
                  </w:r>
                </w:p>
              </w:tc>
              <w:tc>
                <w:tcPr>
                  <w:tcW w:type="dxa" w:w="16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3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颗粒物</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固定污染源排气中颗粒物</w:t>
                  </w:r>
                  <w:r>
                    <w:rPr>
                      <w:rFonts w:ascii="仿宋_GB2312" w:hAnsi="仿宋_GB2312" w:cs="仿宋_GB2312" w:eastAsia="仿宋_GB2312"/>
                      <w:sz w:val="24"/>
                    </w:rPr>
                    <w:t>测定与气态污染物采样方法</w:t>
                  </w:r>
                </w:p>
              </w:tc>
              <w:tc>
                <w:tcPr>
                  <w:tcW w:type="dxa" w:w="5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GB/T16157-1996及修改单</w:t>
                  </w:r>
                </w:p>
              </w:tc>
            </w:tr>
            <w:tr>
              <w:tc>
                <w:tcPr>
                  <w:tcW w:type="dxa" w:w="279"/>
                  <w:vMerge/>
                  <w:tcBorders>
                    <w:top w:val="none" w:color="000000" w:sz="4"/>
                    <w:left w:val="single" w:color="000000" w:sz="4"/>
                    <w:bottom w:val="single" w:color="000000" w:sz="4"/>
                    <w:right w:val="single" w:color="000000" w:sz="4"/>
                  </w:tcBorders>
                </w:tcPr>
                <w:p/>
              </w:tc>
              <w:tc>
                <w:tcPr>
                  <w:tcW w:type="dxa" w:w="279"/>
                  <w:vMerge/>
                  <w:tcBorders>
                    <w:top w:val="none" w:color="000000" w:sz="4"/>
                    <w:left w:val="single" w:color="000000" w:sz="4"/>
                    <w:bottom w:val="single" w:color="000000" w:sz="4"/>
                    <w:right w:val="single" w:color="000000" w:sz="4"/>
                  </w:tcBorders>
                </w:tcPr>
                <w:p/>
              </w:tc>
              <w:tc>
                <w:tcPr>
                  <w:tcW w:type="dxa" w:w="160"/>
                  <w:vMerge/>
                  <w:tcBorders>
                    <w:top w:val="none" w:color="000000" w:sz="4"/>
                    <w:left w:val="single" w:color="000000" w:sz="4"/>
                    <w:bottom w:val="single" w:color="000000" w:sz="4"/>
                    <w:right w:val="single" w:color="000000" w:sz="4"/>
                  </w:tcBorders>
                </w:tcPr>
                <w:p/>
              </w:tc>
              <w:tc>
                <w:tcPr>
                  <w:tcW w:type="dxa" w:w="359"/>
                  <w:vMerge/>
                  <w:tcBorders>
                    <w:top w:val="none" w:color="000000" w:sz="4"/>
                    <w:left w:val="single" w:color="000000" w:sz="4"/>
                    <w:bottom w:val="single" w:color="000000" w:sz="4"/>
                    <w:right w:val="single" w:color="000000" w:sz="4"/>
                  </w:tcBorders>
                </w:tcP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锅炉烟尘测试方法</w:t>
                  </w:r>
                </w:p>
              </w:tc>
              <w:tc>
                <w:tcPr>
                  <w:tcW w:type="dxa" w:w="5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GB/T 5468-1991</w:t>
                  </w:r>
                </w:p>
              </w:tc>
            </w:tr>
            <w:tr>
              <w:tc>
                <w:tcPr>
                  <w:tcW w:type="dxa" w:w="279"/>
                  <w:vMerge/>
                  <w:tcBorders>
                    <w:top w:val="none" w:color="000000" w:sz="4"/>
                    <w:left w:val="single" w:color="000000" w:sz="4"/>
                    <w:bottom w:val="single" w:color="000000" w:sz="4"/>
                    <w:right w:val="single" w:color="000000" w:sz="4"/>
                  </w:tcBorders>
                </w:tcPr>
                <w:p/>
              </w:tc>
              <w:tc>
                <w:tcPr>
                  <w:tcW w:type="dxa" w:w="279"/>
                  <w:vMerge/>
                  <w:tcBorders>
                    <w:top w:val="none" w:color="000000" w:sz="4"/>
                    <w:left w:val="single" w:color="000000" w:sz="4"/>
                    <w:bottom w:val="single" w:color="000000" w:sz="4"/>
                    <w:right w:val="single" w:color="000000" w:sz="4"/>
                  </w:tcBorders>
                </w:tcPr>
                <w:p/>
              </w:tc>
              <w:tc>
                <w:tcPr>
                  <w:tcW w:type="dxa" w:w="160"/>
                  <w:vMerge/>
                  <w:tcBorders>
                    <w:top w:val="none" w:color="000000" w:sz="4"/>
                    <w:left w:val="single" w:color="000000" w:sz="4"/>
                    <w:bottom w:val="single" w:color="000000" w:sz="4"/>
                    <w:right w:val="single" w:color="000000" w:sz="4"/>
                  </w:tcBorders>
                </w:tcPr>
                <w:p/>
              </w:tc>
              <w:tc>
                <w:tcPr>
                  <w:tcW w:type="dxa" w:w="359"/>
                  <w:vMerge/>
                  <w:tcBorders>
                    <w:top w:val="none" w:color="000000" w:sz="4"/>
                    <w:left w:val="single" w:color="000000" w:sz="4"/>
                    <w:bottom w:val="single" w:color="000000" w:sz="4"/>
                    <w:right w:val="single" w:color="000000" w:sz="4"/>
                  </w:tcBorders>
                </w:tcP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4"/>
                    </w:rPr>
                    <w:t>环境空气</w:t>
                  </w:r>
                  <w:r>
                    <w:rPr>
                      <w:rFonts w:ascii="仿宋_GB2312" w:hAnsi="仿宋_GB2312" w:cs="仿宋_GB2312" w:eastAsia="仿宋_GB2312"/>
                      <w:sz w:val="24"/>
                    </w:rPr>
                    <w:t xml:space="preserve"> </w:t>
                  </w:r>
                  <w:r>
                    <w:rPr>
                      <w:rFonts w:ascii="仿宋_GB2312" w:hAnsi="仿宋_GB2312" w:cs="仿宋_GB2312" w:eastAsia="仿宋_GB2312"/>
                      <w:sz w:val="24"/>
                    </w:rPr>
                    <w:t>总悬浮颗粒物的测定</w:t>
                  </w:r>
                </w:p>
              </w:tc>
              <w:tc>
                <w:tcPr>
                  <w:tcW w:type="dxa" w:w="5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重量法</w:t>
                  </w:r>
                  <w:r>
                    <w:rPr>
                      <w:rFonts w:ascii="仿宋_GB2312" w:hAnsi="仿宋_GB2312" w:cs="仿宋_GB2312" w:eastAsia="仿宋_GB2312"/>
                      <w:sz w:val="24"/>
                    </w:rPr>
                    <w:t xml:space="preserve"> HT1263-2022</w:t>
                  </w:r>
                </w:p>
              </w:tc>
            </w:tr>
            <w:tr>
              <w:tc>
                <w:tcPr>
                  <w:tcW w:type="dxa" w:w="279"/>
                  <w:vMerge/>
                  <w:tcBorders>
                    <w:top w:val="none" w:color="000000" w:sz="4"/>
                    <w:left w:val="single" w:color="000000" w:sz="4"/>
                    <w:bottom w:val="single" w:color="000000" w:sz="4"/>
                    <w:right w:val="single" w:color="000000" w:sz="4"/>
                  </w:tcBorders>
                </w:tcPr>
                <w:p/>
              </w:tc>
              <w:tc>
                <w:tcPr>
                  <w:tcW w:type="dxa" w:w="279"/>
                  <w:vMerge/>
                  <w:tcBorders>
                    <w:top w:val="none" w:color="000000" w:sz="4"/>
                    <w:left w:val="single" w:color="000000" w:sz="4"/>
                    <w:bottom w:val="single" w:color="000000" w:sz="4"/>
                    <w:right w:val="single" w:color="000000" w:sz="4"/>
                  </w:tcBorders>
                </w:tcPr>
                <w:p/>
              </w:tc>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低浓度颗粒物</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固定污染源废气</w:t>
                  </w:r>
                  <w:r>
                    <w:rPr>
                      <w:rFonts w:ascii="仿宋_GB2312" w:hAnsi="仿宋_GB2312" w:cs="仿宋_GB2312" w:eastAsia="仿宋_GB2312"/>
                      <w:sz w:val="24"/>
                    </w:rPr>
                    <w:t>低浓度颗粒物的测定</w:t>
                  </w:r>
                  <w:r>
                    <w:rPr>
                      <w:rFonts w:ascii="仿宋_GB2312" w:hAnsi="仿宋_GB2312" w:cs="仿宋_GB2312" w:eastAsia="仿宋_GB2312"/>
                      <w:sz w:val="24"/>
                    </w:rPr>
                    <w:t>重量法</w:t>
                  </w:r>
                </w:p>
              </w:tc>
              <w:tc>
                <w:tcPr>
                  <w:tcW w:type="dxa" w:w="5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HJ836-2017</w:t>
                  </w:r>
                </w:p>
              </w:tc>
            </w:tr>
            <w:tr>
              <w:tc>
                <w:tcPr>
                  <w:tcW w:type="dxa" w:w="279"/>
                  <w:vMerge/>
                  <w:tcBorders>
                    <w:top w:val="none" w:color="000000" w:sz="4"/>
                    <w:left w:val="single" w:color="000000" w:sz="4"/>
                    <w:bottom w:val="single" w:color="000000" w:sz="4"/>
                    <w:right w:val="single" w:color="000000" w:sz="4"/>
                  </w:tcBorders>
                </w:tcPr>
                <w:p/>
              </w:tc>
              <w:tc>
                <w:tcPr>
                  <w:tcW w:type="dxa" w:w="279"/>
                  <w:vMerge/>
                  <w:tcBorders>
                    <w:top w:val="none" w:color="000000" w:sz="4"/>
                    <w:left w:val="single" w:color="000000" w:sz="4"/>
                    <w:bottom w:val="single" w:color="000000" w:sz="4"/>
                    <w:right w:val="single" w:color="000000" w:sz="4"/>
                  </w:tcBorders>
                </w:tcPr>
                <w:p/>
              </w:tc>
              <w:tc>
                <w:tcPr>
                  <w:tcW w:type="dxa" w:w="16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3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二氧化硫</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固定污染源废气</w:t>
                  </w:r>
                  <w:r>
                    <w:rPr>
                      <w:rFonts w:ascii="仿宋_GB2312" w:hAnsi="仿宋_GB2312" w:cs="仿宋_GB2312" w:eastAsia="仿宋_GB2312"/>
                      <w:sz w:val="24"/>
                    </w:rPr>
                    <w:t>二氧化硫的测定定电位电解法</w:t>
                  </w:r>
                </w:p>
              </w:tc>
              <w:tc>
                <w:tcPr>
                  <w:tcW w:type="dxa" w:w="5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HJ 57-2017</w:t>
                  </w:r>
                </w:p>
              </w:tc>
            </w:tr>
            <w:tr>
              <w:tc>
                <w:tcPr>
                  <w:tcW w:type="dxa" w:w="279"/>
                  <w:vMerge/>
                  <w:tcBorders>
                    <w:top w:val="none" w:color="000000" w:sz="4"/>
                    <w:left w:val="single" w:color="000000" w:sz="4"/>
                    <w:bottom w:val="single" w:color="000000" w:sz="4"/>
                    <w:right w:val="single" w:color="000000" w:sz="4"/>
                  </w:tcBorders>
                </w:tcPr>
                <w:p/>
              </w:tc>
              <w:tc>
                <w:tcPr>
                  <w:tcW w:type="dxa" w:w="279"/>
                  <w:vMerge/>
                  <w:tcBorders>
                    <w:top w:val="none" w:color="000000" w:sz="4"/>
                    <w:left w:val="single" w:color="000000" w:sz="4"/>
                    <w:bottom w:val="single" w:color="000000" w:sz="4"/>
                    <w:right w:val="single" w:color="000000" w:sz="4"/>
                  </w:tcBorders>
                </w:tcPr>
                <w:p/>
              </w:tc>
              <w:tc>
                <w:tcPr>
                  <w:tcW w:type="dxa" w:w="160"/>
                  <w:vMerge/>
                  <w:tcBorders>
                    <w:top w:val="none" w:color="000000" w:sz="4"/>
                    <w:left w:val="single" w:color="000000" w:sz="4"/>
                    <w:bottom w:val="single" w:color="000000" w:sz="4"/>
                    <w:right w:val="single" w:color="000000" w:sz="4"/>
                  </w:tcBorders>
                </w:tcPr>
                <w:p/>
              </w:tc>
              <w:tc>
                <w:tcPr>
                  <w:tcW w:type="dxa" w:w="359"/>
                  <w:vMerge/>
                  <w:tcBorders>
                    <w:top w:val="none" w:color="000000" w:sz="4"/>
                    <w:left w:val="single" w:color="000000" w:sz="4"/>
                    <w:bottom w:val="single" w:color="000000" w:sz="4"/>
                    <w:right w:val="single" w:color="000000" w:sz="4"/>
                  </w:tcBorders>
                </w:tcP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固定污染源废气</w:t>
                  </w:r>
                  <w:r>
                    <w:rPr>
                      <w:rFonts w:ascii="仿宋_GB2312" w:hAnsi="仿宋_GB2312" w:cs="仿宋_GB2312" w:eastAsia="仿宋_GB2312"/>
                      <w:sz w:val="24"/>
                    </w:rPr>
                    <w:t>二氧化硫的测定</w:t>
                  </w:r>
                  <w:r>
                    <w:rPr>
                      <w:rFonts w:ascii="仿宋_GB2312" w:hAnsi="仿宋_GB2312" w:cs="仿宋_GB2312" w:eastAsia="仿宋_GB2312"/>
                      <w:sz w:val="24"/>
                    </w:rPr>
                    <w:t>便携式紫外吸收法</w:t>
                  </w:r>
                </w:p>
              </w:tc>
              <w:tc>
                <w:tcPr>
                  <w:tcW w:type="dxa" w:w="5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HJ1131-2020</w:t>
                  </w:r>
                </w:p>
              </w:tc>
            </w:tr>
            <w:tr>
              <w:tc>
                <w:tcPr>
                  <w:tcW w:type="dxa" w:w="279"/>
                  <w:vMerge/>
                  <w:tcBorders>
                    <w:top w:val="none" w:color="000000" w:sz="4"/>
                    <w:left w:val="single" w:color="000000" w:sz="4"/>
                    <w:bottom w:val="single" w:color="000000" w:sz="4"/>
                    <w:right w:val="single" w:color="000000" w:sz="4"/>
                  </w:tcBorders>
                </w:tcPr>
                <w:p/>
              </w:tc>
              <w:tc>
                <w:tcPr>
                  <w:tcW w:type="dxa" w:w="279"/>
                  <w:vMerge/>
                  <w:tcBorders>
                    <w:top w:val="none" w:color="000000" w:sz="4"/>
                    <w:left w:val="single" w:color="000000" w:sz="4"/>
                    <w:bottom w:val="single" w:color="000000" w:sz="4"/>
                    <w:right w:val="single" w:color="000000" w:sz="4"/>
                  </w:tcBorders>
                </w:tcPr>
                <w:p/>
              </w:tc>
              <w:tc>
                <w:tcPr>
                  <w:tcW w:type="dxa" w:w="160"/>
                  <w:vMerge/>
                  <w:tcBorders>
                    <w:top w:val="none" w:color="000000" w:sz="4"/>
                    <w:left w:val="single" w:color="000000" w:sz="4"/>
                    <w:bottom w:val="single" w:color="000000" w:sz="4"/>
                    <w:right w:val="single" w:color="000000" w:sz="4"/>
                  </w:tcBorders>
                </w:tcPr>
                <w:p/>
              </w:tc>
              <w:tc>
                <w:tcPr>
                  <w:tcW w:type="dxa" w:w="359"/>
                  <w:vMerge/>
                  <w:tcBorders>
                    <w:top w:val="none" w:color="000000" w:sz="4"/>
                    <w:left w:val="single" w:color="000000" w:sz="4"/>
                    <w:bottom w:val="single" w:color="000000" w:sz="4"/>
                    <w:right w:val="single" w:color="000000" w:sz="4"/>
                  </w:tcBorders>
                </w:tcP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环境空气</w:t>
                  </w:r>
                  <w:r>
                    <w:rPr>
                      <w:rFonts w:ascii="仿宋_GB2312" w:hAnsi="仿宋_GB2312" w:cs="仿宋_GB2312" w:eastAsia="仿宋_GB2312"/>
                      <w:sz w:val="24"/>
                    </w:rPr>
                    <w:t xml:space="preserve"> </w:t>
                  </w:r>
                  <w:r>
                    <w:rPr>
                      <w:rFonts w:ascii="仿宋_GB2312" w:hAnsi="仿宋_GB2312" w:cs="仿宋_GB2312" w:eastAsia="仿宋_GB2312"/>
                      <w:sz w:val="24"/>
                    </w:rPr>
                    <w:t>二氧化硫的测定</w:t>
                  </w:r>
                  <w:r>
                    <w:rPr>
                      <w:rFonts w:ascii="仿宋_GB2312" w:hAnsi="仿宋_GB2312" w:cs="仿宋_GB2312" w:eastAsia="仿宋_GB2312"/>
                      <w:sz w:val="24"/>
                    </w:rPr>
                    <w:t>甲醛吸收</w:t>
                  </w:r>
                  <w:r>
                    <w:rPr>
                      <w:rFonts w:ascii="仿宋_GB2312" w:hAnsi="仿宋_GB2312" w:cs="仿宋_GB2312" w:eastAsia="仿宋_GB2312"/>
                      <w:sz w:val="24"/>
                    </w:rPr>
                    <w:t>-副玫瑰苯胺分光光度法</w:t>
                  </w:r>
                </w:p>
              </w:tc>
              <w:tc>
                <w:tcPr>
                  <w:tcW w:type="dxa" w:w="5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HJ482-2009</w:t>
                  </w:r>
                  <w:r>
                    <w:rPr>
                      <w:rFonts w:ascii="仿宋_GB2312" w:hAnsi="仿宋_GB2312" w:cs="仿宋_GB2312" w:eastAsia="仿宋_GB2312"/>
                      <w:sz w:val="24"/>
                    </w:rPr>
                    <w:t>及修改单</w:t>
                  </w:r>
                </w:p>
              </w:tc>
            </w:tr>
            <w:tr>
              <w:tc>
                <w:tcPr>
                  <w:tcW w:type="dxa" w:w="279"/>
                  <w:vMerge/>
                  <w:tcBorders>
                    <w:top w:val="none" w:color="000000" w:sz="4"/>
                    <w:left w:val="single" w:color="000000" w:sz="4"/>
                    <w:bottom w:val="single" w:color="000000" w:sz="4"/>
                    <w:right w:val="single" w:color="000000" w:sz="4"/>
                  </w:tcBorders>
                </w:tcPr>
                <w:p/>
              </w:tc>
              <w:tc>
                <w:tcPr>
                  <w:tcW w:type="dxa" w:w="279"/>
                  <w:vMerge/>
                  <w:tcBorders>
                    <w:top w:val="none" w:color="000000" w:sz="4"/>
                    <w:left w:val="single" w:color="000000" w:sz="4"/>
                    <w:bottom w:val="single" w:color="000000" w:sz="4"/>
                    <w:right w:val="single" w:color="000000" w:sz="4"/>
                  </w:tcBorders>
                </w:tcPr>
                <w:p/>
              </w:tc>
              <w:tc>
                <w:tcPr>
                  <w:tcW w:type="dxa" w:w="16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p>
                  <w:pPr>
                    <w:pStyle w:val="null3"/>
                    <w:jc w:val="center"/>
                  </w:pPr>
                </w:p>
              </w:tc>
              <w:tc>
                <w:tcPr>
                  <w:tcW w:type="dxa" w:w="3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氮氧化物</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环境空气</w:t>
                  </w:r>
                  <w:r>
                    <w:rPr>
                      <w:rFonts w:ascii="仿宋_GB2312" w:hAnsi="仿宋_GB2312" w:cs="仿宋_GB2312" w:eastAsia="仿宋_GB2312"/>
                      <w:sz w:val="24"/>
                    </w:rPr>
                    <w:t xml:space="preserve"> </w:t>
                  </w:r>
                  <w:r>
                    <w:rPr>
                      <w:rFonts w:ascii="仿宋_GB2312" w:hAnsi="仿宋_GB2312" w:cs="仿宋_GB2312" w:eastAsia="仿宋_GB2312"/>
                      <w:sz w:val="24"/>
                    </w:rPr>
                    <w:t>氮氧化物</w:t>
                  </w:r>
                  <w:r>
                    <w:rPr>
                      <w:rFonts w:ascii="仿宋_GB2312" w:hAnsi="仿宋_GB2312" w:cs="仿宋_GB2312" w:eastAsia="仿宋_GB2312"/>
                      <w:sz w:val="24"/>
                    </w:rPr>
                    <w:t>(一氧化氮和二氧化氮)的测定 盐酸萘乙二胺分光光度法</w:t>
                  </w:r>
                </w:p>
              </w:tc>
              <w:tc>
                <w:tcPr>
                  <w:tcW w:type="dxa" w:w="5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HJ479-2009及修改单</w:t>
                  </w:r>
                </w:p>
              </w:tc>
            </w:tr>
            <w:tr>
              <w:tc>
                <w:tcPr>
                  <w:tcW w:type="dxa" w:w="279"/>
                  <w:vMerge/>
                  <w:tcBorders>
                    <w:top w:val="none" w:color="000000" w:sz="4"/>
                    <w:left w:val="single" w:color="000000" w:sz="4"/>
                    <w:bottom w:val="single" w:color="000000" w:sz="4"/>
                    <w:right w:val="single" w:color="000000" w:sz="4"/>
                  </w:tcBorders>
                </w:tcPr>
                <w:p/>
              </w:tc>
              <w:tc>
                <w:tcPr>
                  <w:tcW w:type="dxa" w:w="279"/>
                  <w:vMerge/>
                  <w:tcBorders>
                    <w:top w:val="none" w:color="000000" w:sz="4"/>
                    <w:left w:val="single" w:color="000000" w:sz="4"/>
                    <w:bottom w:val="single" w:color="000000" w:sz="4"/>
                    <w:right w:val="single" w:color="000000" w:sz="4"/>
                  </w:tcBorders>
                </w:tcPr>
                <w:p/>
              </w:tc>
              <w:tc>
                <w:tcPr>
                  <w:tcW w:type="dxa" w:w="160"/>
                  <w:vMerge/>
                  <w:tcBorders>
                    <w:top w:val="none" w:color="000000" w:sz="4"/>
                    <w:left w:val="single" w:color="000000" w:sz="4"/>
                    <w:bottom w:val="single" w:color="000000" w:sz="4"/>
                    <w:right w:val="single" w:color="000000" w:sz="4"/>
                  </w:tcBorders>
                </w:tcPr>
                <w:p/>
              </w:tc>
              <w:tc>
                <w:tcPr>
                  <w:tcW w:type="dxa" w:w="359"/>
                  <w:vMerge/>
                  <w:tcBorders>
                    <w:top w:val="none" w:color="000000" w:sz="4"/>
                    <w:left w:val="single" w:color="000000" w:sz="4"/>
                    <w:bottom w:val="single" w:color="000000" w:sz="4"/>
                    <w:right w:val="single" w:color="000000" w:sz="4"/>
                  </w:tcBorders>
                </w:tcP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固定污染源废气</w:t>
                  </w:r>
                  <w:r>
                    <w:rPr>
                      <w:rFonts w:ascii="仿宋_GB2312" w:hAnsi="仿宋_GB2312" w:cs="仿宋_GB2312" w:eastAsia="仿宋_GB2312"/>
                      <w:sz w:val="24"/>
                    </w:rPr>
                    <w:t>氮氧化物的测定</w:t>
                  </w:r>
                  <w:r>
                    <w:rPr>
                      <w:rFonts w:ascii="仿宋_GB2312" w:hAnsi="仿宋_GB2312" w:cs="仿宋_GB2312" w:eastAsia="仿宋_GB2312"/>
                      <w:sz w:val="24"/>
                    </w:rPr>
                    <w:t>定电位电解法</w:t>
                  </w:r>
                </w:p>
              </w:tc>
              <w:tc>
                <w:tcPr>
                  <w:tcW w:type="dxa" w:w="5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HJ 693-2014</w:t>
                  </w:r>
                </w:p>
              </w:tc>
            </w:tr>
            <w:tr>
              <w:tc>
                <w:tcPr>
                  <w:tcW w:type="dxa" w:w="279"/>
                  <w:vMerge/>
                  <w:tcBorders>
                    <w:top w:val="none" w:color="000000" w:sz="4"/>
                    <w:left w:val="single" w:color="000000" w:sz="4"/>
                    <w:bottom w:val="single" w:color="000000" w:sz="4"/>
                    <w:right w:val="single" w:color="000000" w:sz="4"/>
                  </w:tcBorders>
                </w:tcPr>
                <w:p/>
              </w:tc>
              <w:tc>
                <w:tcPr>
                  <w:tcW w:type="dxa" w:w="279"/>
                  <w:vMerge/>
                  <w:tcBorders>
                    <w:top w:val="none" w:color="000000" w:sz="4"/>
                    <w:left w:val="single" w:color="000000" w:sz="4"/>
                    <w:bottom w:val="single" w:color="000000" w:sz="4"/>
                    <w:right w:val="single" w:color="000000" w:sz="4"/>
                  </w:tcBorders>
                </w:tcPr>
                <w:p/>
              </w:tc>
              <w:tc>
                <w:tcPr>
                  <w:tcW w:type="dxa" w:w="160"/>
                  <w:vMerge/>
                  <w:tcBorders>
                    <w:top w:val="none" w:color="000000" w:sz="4"/>
                    <w:left w:val="single" w:color="000000" w:sz="4"/>
                    <w:bottom w:val="single" w:color="000000" w:sz="4"/>
                    <w:right w:val="single" w:color="000000" w:sz="4"/>
                  </w:tcBorders>
                </w:tcPr>
                <w:p/>
              </w:tc>
              <w:tc>
                <w:tcPr>
                  <w:tcW w:type="dxa" w:w="359"/>
                  <w:vMerge/>
                  <w:tcBorders>
                    <w:top w:val="none" w:color="000000" w:sz="4"/>
                    <w:left w:val="single" w:color="000000" w:sz="4"/>
                    <w:bottom w:val="single" w:color="000000" w:sz="4"/>
                    <w:right w:val="single" w:color="000000" w:sz="4"/>
                  </w:tcBorders>
                </w:tcP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固定污染源废气</w:t>
                  </w:r>
                  <w:r>
                    <w:rPr>
                      <w:rFonts w:ascii="仿宋_GB2312" w:hAnsi="仿宋_GB2312" w:cs="仿宋_GB2312" w:eastAsia="仿宋_GB2312"/>
                      <w:sz w:val="24"/>
                    </w:rPr>
                    <w:t>氮氧化物的测定</w:t>
                  </w:r>
                  <w:r>
                    <w:rPr>
                      <w:rFonts w:ascii="仿宋_GB2312" w:hAnsi="仿宋_GB2312" w:cs="仿宋_GB2312" w:eastAsia="仿宋_GB2312"/>
                      <w:sz w:val="24"/>
                    </w:rPr>
                    <w:t>便携式紫外吸收法</w:t>
                  </w:r>
                </w:p>
              </w:tc>
              <w:tc>
                <w:tcPr>
                  <w:tcW w:type="dxa" w:w="5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HJ1132-2020</w:t>
                  </w:r>
                </w:p>
              </w:tc>
            </w:tr>
            <w:tr>
              <w:tc>
                <w:tcPr>
                  <w:tcW w:type="dxa" w:w="27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挥发性有机物</w:t>
                  </w:r>
                </w:p>
              </w:tc>
              <w:tc>
                <w:tcPr>
                  <w:tcW w:type="dxa" w:w="27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环境空气和废气</w:t>
                  </w:r>
                </w:p>
              </w:tc>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苯系物</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环境空气</w:t>
                  </w:r>
                  <w:r>
                    <w:rPr>
                      <w:rFonts w:ascii="仿宋_GB2312" w:hAnsi="仿宋_GB2312" w:cs="仿宋_GB2312" w:eastAsia="仿宋_GB2312"/>
                      <w:sz w:val="24"/>
                    </w:rPr>
                    <w:t xml:space="preserve"> </w:t>
                  </w:r>
                  <w:r>
                    <w:rPr>
                      <w:rFonts w:ascii="仿宋_GB2312" w:hAnsi="仿宋_GB2312" w:cs="仿宋_GB2312" w:eastAsia="仿宋_GB2312"/>
                      <w:sz w:val="24"/>
                    </w:rPr>
                    <w:t>苯系物的测定</w:t>
                  </w:r>
                  <w:r>
                    <w:rPr>
                      <w:rFonts w:ascii="仿宋_GB2312" w:hAnsi="仿宋_GB2312" w:cs="仿宋_GB2312" w:eastAsia="仿宋_GB2312"/>
                      <w:sz w:val="24"/>
                    </w:rPr>
                    <w:t>活性炭吸附</w:t>
                  </w:r>
                  <w:r>
                    <w:rPr>
                      <w:rFonts w:ascii="仿宋_GB2312" w:hAnsi="仿宋_GB2312" w:cs="仿宋_GB2312" w:eastAsia="仿宋_GB2312"/>
                      <w:sz w:val="24"/>
                    </w:rPr>
                    <w:t>/二硫化碳解吸-气相色谱法</w:t>
                  </w:r>
                </w:p>
              </w:tc>
              <w:tc>
                <w:tcPr>
                  <w:tcW w:type="dxa" w:w="5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HJ 584-2010</w:t>
                  </w:r>
                </w:p>
              </w:tc>
            </w:tr>
            <w:tr>
              <w:tc>
                <w:tcPr>
                  <w:tcW w:type="dxa" w:w="279"/>
                  <w:vMerge/>
                  <w:tcBorders>
                    <w:top w:val="none" w:color="000000" w:sz="4"/>
                    <w:left w:val="single" w:color="000000" w:sz="4"/>
                    <w:bottom w:val="single" w:color="000000" w:sz="4"/>
                    <w:right w:val="single" w:color="000000" w:sz="4"/>
                  </w:tcBorders>
                </w:tcPr>
                <w:p/>
              </w:tc>
              <w:tc>
                <w:tcPr>
                  <w:tcW w:type="dxa" w:w="279"/>
                  <w:vMerge/>
                  <w:tcBorders>
                    <w:top w:val="none" w:color="000000" w:sz="4"/>
                    <w:left w:val="single" w:color="000000" w:sz="4"/>
                    <w:bottom w:val="single" w:color="000000" w:sz="4"/>
                    <w:right w:val="single" w:color="000000" w:sz="4"/>
                  </w:tcBorders>
                </w:tcPr>
                <w:p/>
              </w:tc>
              <w:tc>
                <w:tcPr>
                  <w:tcW w:type="dxa" w:w="16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3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非甲烷总烃</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固定污染源废气</w:t>
                  </w:r>
                  <w:r>
                    <w:rPr>
                      <w:rFonts w:ascii="仿宋_GB2312" w:hAnsi="仿宋_GB2312" w:cs="仿宋_GB2312" w:eastAsia="仿宋_GB2312"/>
                      <w:sz w:val="24"/>
                    </w:rPr>
                    <w:t>总烃、甲烷和非甲烷总烃的测定</w:t>
                  </w:r>
                  <w:r>
                    <w:rPr>
                      <w:rFonts w:ascii="仿宋_GB2312" w:hAnsi="仿宋_GB2312" w:cs="仿宋_GB2312" w:eastAsia="仿宋_GB2312"/>
                      <w:sz w:val="24"/>
                    </w:rPr>
                    <w:t>气相色谱法</w:t>
                  </w:r>
                </w:p>
              </w:tc>
              <w:tc>
                <w:tcPr>
                  <w:tcW w:type="dxa" w:w="5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HJ 38-2017</w:t>
                  </w:r>
                </w:p>
              </w:tc>
            </w:tr>
            <w:tr>
              <w:tc>
                <w:tcPr>
                  <w:tcW w:type="dxa" w:w="279"/>
                  <w:vMerge/>
                  <w:tcBorders>
                    <w:top w:val="none" w:color="000000" w:sz="4"/>
                    <w:left w:val="single" w:color="000000" w:sz="4"/>
                    <w:bottom w:val="single" w:color="000000" w:sz="4"/>
                    <w:right w:val="single" w:color="000000" w:sz="4"/>
                  </w:tcBorders>
                </w:tcPr>
                <w:p/>
              </w:tc>
              <w:tc>
                <w:tcPr>
                  <w:tcW w:type="dxa" w:w="279"/>
                  <w:vMerge/>
                  <w:tcBorders>
                    <w:top w:val="none" w:color="000000" w:sz="4"/>
                    <w:left w:val="single" w:color="000000" w:sz="4"/>
                    <w:bottom w:val="single" w:color="000000" w:sz="4"/>
                    <w:right w:val="single" w:color="000000" w:sz="4"/>
                  </w:tcBorders>
                </w:tcPr>
                <w:p/>
              </w:tc>
              <w:tc>
                <w:tcPr>
                  <w:tcW w:type="dxa" w:w="160"/>
                  <w:vMerge/>
                  <w:tcBorders>
                    <w:top w:val="none" w:color="000000" w:sz="4"/>
                    <w:left w:val="single" w:color="000000" w:sz="4"/>
                    <w:bottom w:val="single" w:color="000000" w:sz="4"/>
                    <w:right w:val="single" w:color="000000" w:sz="4"/>
                  </w:tcBorders>
                </w:tcPr>
                <w:p/>
              </w:tc>
              <w:tc>
                <w:tcPr>
                  <w:tcW w:type="dxa" w:w="359"/>
                  <w:vMerge/>
                  <w:tcBorders>
                    <w:top w:val="none" w:color="000000" w:sz="4"/>
                    <w:left w:val="single" w:color="000000" w:sz="4"/>
                    <w:bottom w:val="single" w:color="000000" w:sz="4"/>
                    <w:right w:val="single" w:color="000000" w:sz="4"/>
                  </w:tcBorders>
                </w:tcP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环境空气</w:t>
                  </w:r>
                  <w:r>
                    <w:rPr>
                      <w:rFonts w:ascii="仿宋_GB2312" w:hAnsi="仿宋_GB2312" w:cs="仿宋_GB2312" w:eastAsia="仿宋_GB2312"/>
                      <w:sz w:val="24"/>
                    </w:rPr>
                    <w:t xml:space="preserve"> </w:t>
                  </w:r>
                  <w:r>
                    <w:rPr>
                      <w:rFonts w:ascii="仿宋_GB2312" w:hAnsi="仿宋_GB2312" w:cs="仿宋_GB2312" w:eastAsia="仿宋_GB2312"/>
                      <w:sz w:val="24"/>
                    </w:rPr>
                    <w:t>总烃、甲烷和非甲烷总烃的测定</w:t>
                  </w:r>
                  <w:r>
                    <w:rPr>
                      <w:rFonts w:ascii="仿宋_GB2312" w:hAnsi="仿宋_GB2312" w:cs="仿宋_GB2312" w:eastAsia="仿宋_GB2312"/>
                      <w:sz w:val="24"/>
                    </w:rPr>
                    <w:t>直接进样</w:t>
                  </w:r>
                  <w:r>
                    <w:rPr>
                      <w:rFonts w:ascii="仿宋_GB2312" w:hAnsi="仿宋_GB2312" w:cs="仿宋_GB2312" w:eastAsia="仿宋_GB2312"/>
                      <w:sz w:val="24"/>
                    </w:rPr>
                    <w:t>-气相色谱法</w:t>
                  </w:r>
                </w:p>
              </w:tc>
              <w:tc>
                <w:tcPr>
                  <w:tcW w:type="dxa" w:w="5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HJ 604-2017</w:t>
                  </w:r>
                </w:p>
              </w:tc>
            </w:tr>
            <w:tr>
              <w:tc>
                <w:tcPr>
                  <w:tcW w:type="dxa" w:w="279"/>
                  <w:vMerge/>
                  <w:tcBorders>
                    <w:top w:val="none" w:color="000000" w:sz="4"/>
                    <w:left w:val="single" w:color="000000" w:sz="4"/>
                    <w:bottom w:val="single" w:color="000000" w:sz="4"/>
                    <w:right w:val="single" w:color="000000" w:sz="4"/>
                  </w:tcBorders>
                </w:tcPr>
                <w:p/>
              </w:tc>
              <w:tc>
                <w:tcPr>
                  <w:tcW w:type="dxa" w:w="279"/>
                  <w:vMerge/>
                  <w:tcBorders>
                    <w:top w:val="none" w:color="000000" w:sz="4"/>
                    <w:left w:val="single" w:color="000000" w:sz="4"/>
                    <w:bottom w:val="single" w:color="000000" w:sz="4"/>
                    <w:right w:val="single" w:color="000000" w:sz="4"/>
                  </w:tcBorders>
                </w:tcPr>
                <w:p/>
              </w:tc>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泄漏和敞开液面排放的挥发性有机物</w:t>
                  </w:r>
                  <w:r>
                    <w:rPr>
                      <w:rFonts w:ascii="仿宋_GB2312" w:hAnsi="仿宋_GB2312" w:cs="仿宋_GB2312" w:eastAsia="仿宋_GB2312"/>
                      <w:sz w:val="24"/>
                    </w:rPr>
                    <w:t>(</w:t>
                  </w:r>
                  <w:r>
                    <w:rPr>
                      <w:rFonts w:ascii="仿宋_GB2312" w:hAnsi="仿宋_GB2312" w:cs="仿宋_GB2312" w:eastAsia="仿宋_GB2312"/>
                      <w:sz w:val="24"/>
                    </w:rPr>
                    <w:t>VOCs</w:t>
                  </w:r>
                  <w:r>
                    <w:rPr>
                      <w:rFonts w:ascii="仿宋_GB2312" w:hAnsi="仿宋_GB2312" w:cs="仿宋_GB2312" w:eastAsia="仿宋_GB2312"/>
                      <w:sz w:val="24"/>
                    </w:rPr>
                    <w:t>)</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泄漏和敞开液面排放的挥发性有机物检测技术导则</w:t>
                  </w:r>
                </w:p>
              </w:tc>
              <w:tc>
                <w:tcPr>
                  <w:tcW w:type="dxa" w:w="5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HJ 733-2014</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非道路机械</w:t>
                  </w:r>
                  <w:r>
                    <w:rPr>
                      <w:rFonts w:ascii="仿宋_GB2312" w:hAnsi="仿宋_GB2312" w:cs="仿宋_GB2312" w:eastAsia="仿宋_GB2312"/>
                      <w:sz w:val="24"/>
                    </w:rPr>
                    <w:t>检测</w:t>
                  </w:r>
                </w:p>
              </w:tc>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非道路机械</w:t>
                  </w:r>
                  <w:r>
                    <w:rPr>
                      <w:rFonts w:ascii="仿宋_GB2312" w:hAnsi="仿宋_GB2312" w:cs="仿宋_GB2312" w:eastAsia="仿宋_GB2312"/>
                      <w:sz w:val="24"/>
                    </w:rPr>
                    <w:t>检测</w:t>
                  </w:r>
                </w:p>
              </w:tc>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w:t>
                  </w:r>
                </w:p>
              </w:tc>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光吸收系数</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非道路移动柴油机械排气烟度限值及测量方法</w:t>
                  </w:r>
                </w:p>
              </w:tc>
              <w:tc>
                <w:tcPr>
                  <w:tcW w:type="dxa" w:w="5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GB 36886-2018</w:t>
                  </w:r>
                </w:p>
              </w:tc>
            </w:tr>
          </w:tbl>
          <w:p>
            <w:pPr>
              <w:pStyle w:val="null3"/>
              <w:ind w:firstLine="480"/>
            </w:pPr>
            <w:r>
              <w:rPr>
                <w:rFonts w:ascii="仿宋_GB2312" w:hAnsi="仿宋_GB2312" w:cs="仿宋_GB2312" w:eastAsia="仿宋_GB2312"/>
                <w:sz w:val="24"/>
              </w:rPr>
              <w:t>三、人员要求</w:t>
            </w:r>
          </w:p>
          <w:p>
            <w:pPr>
              <w:pStyle w:val="null3"/>
              <w:ind w:firstLine="480"/>
            </w:pPr>
            <w:r>
              <w:rPr>
                <w:rFonts w:ascii="仿宋_GB2312" w:hAnsi="仿宋_GB2312" w:cs="仿宋_GB2312" w:eastAsia="仿宋_GB2312"/>
                <w:sz w:val="24"/>
              </w:rPr>
              <w:t>投标人应提供不少于</w:t>
            </w:r>
            <w:r>
              <w:rPr>
                <w:rFonts w:ascii="仿宋_GB2312" w:hAnsi="仿宋_GB2312" w:cs="仿宋_GB2312" w:eastAsia="仿宋_GB2312"/>
                <w:sz w:val="24"/>
              </w:rPr>
              <w:t>4人次拟投入本项目实施团队</w:t>
            </w:r>
            <w:r>
              <w:rPr>
                <w:rFonts w:ascii="仿宋_GB2312" w:hAnsi="仿宋_GB2312" w:cs="仿宋_GB2312" w:eastAsia="仿宋_GB2312"/>
                <w:sz w:val="24"/>
              </w:rPr>
              <w:t>，其中，项目负责</w:t>
            </w:r>
            <w:r>
              <w:rPr>
                <w:rFonts w:ascii="仿宋_GB2312" w:hAnsi="仿宋_GB2312" w:cs="仿宋_GB2312" w:eastAsia="仿宋_GB2312"/>
                <w:sz w:val="24"/>
              </w:rPr>
              <w:t>人应具有相应</w:t>
            </w:r>
            <w:r>
              <w:rPr>
                <w:rFonts w:ascii="仿宋_GB2312" w:hAnsi="仿宋_GB2312" w:cs="仿宋_GB2312" w:eastAsia="仿宋_GB2312"/>
                <w:sz w:val="24"/>
              </w:rPr>
              <w:t>的</w:t>
            </w:r>
            <w:r>
              <w:rPr>
                <w:rFonts w:ascii="仿宋_GB2312" w:hAnsi="仿宋_GB2312" w:cs="仿宋_GB2312" w:eastAsia="仿宋_GB2312"/>
                <w:sz w:val="24"/>
              </w:rPr>
              <w:t>专业中级职称证书，团队人员能够满足本项目技术服务要求，团队人员应是投标人在职人员。</w:t>
            </w:r>
          </w:p>
          <w:p>
            <w:pPr>
              <w:pStyle w:val="null3"/>
              <w:ind w:firstLine="480"/>
            </w:pPr>
            <w:r>
              <w:rPr>
                <w:rFonts w:ascii="仿宋_GB2312" w:hAnsi="仿宋_GB2312" w:cs="仿宋_GB2312" w:eastAsia="仿宋_GB2312"/>
                <w:sz w:val="24"/>
              </w:rPr>
              <w:t>四、设施设备要求</w:t>
            </w:r>
          </w:p>
          <w:p>
            <w:pPr>
              <w:pStyle w:val="null3"/>
              <w:ind w:firstLine="480"/>
            </w:pPr>
            <w:r>
              <w:rPr>
                <w:rFonts w:ascii="仿宋_GB2312" w:hAnsi="仿宋_GB2312" w:cs="仿宋_GB2312" w:eastAsia="仿宋_GB2312"/>
                <w:sz w:val="24"/>
              </w:rPr>
              <w:t>投标人有完成本项目服务所需的专用设备，提供主要设备清单及相关证明材料，所提供设备能够满足本项目服务需求。</w:t>
            </w:r>
          </w:p>
          <w:p>
            <w:pPr>
              <w:pStyle w:val="null3"/>
              <w:ind w:firstLine="480"/>
            </w:pPr>
            <w:r>
              <w:rPr>
                <w:rFonts w:ascii="仿宋_GB2312" w:hAnsi="仿宋_GB2312" w:cs="仿宋_GB2312" w:eastAsia="仿宋_GB2312"/>
                <w:sz w:val="24"/>
              </w:rPr>
              <w:t>五、服务要求</w:t>
            </w:r>
          </w:p>
          <w:p>
            <w:pPr>
              <w:pStyle w:val="null3"/>
              <w:ind w:firstLine="480"/>
            </w:pPr>
            <w:r>
              <w:rPr>
                <w:rFonts w:ascii="仿宋_GB2312" w:hAnsi="仿宋_GB2312" w:cs="仿宋_GB2312" w:eastAsia="仿宋_GB2312"/>
                <w:sz w:val="24"/>
              </w:rPr>
              <w:t>提供</w:t>
            </w:r>
            <w:r>
              <w:rPr>
                <w:rFonts w:ascii="仿宋_GB2312" w:hAnsi="仿宋_GB2312" w:cs="仿宋_GB2312" w:eastAsia="仿宋_GB2312"/>
                <w:sz w:val="24"/>
              </w:rPr>
              <w:t xml:space="preserve">7*24电话售后服务支持；突发事件，12小时内到达现场解决问题。  </w:t>
            </w:r>
          </w:p>
          <w:p>
            <w:pPr>
              <w:pStyle w:val="null3"/>
              <w:ind w:firstLine="480"/>
            </w:pPr>
            <w:r>
              <w:rPr>
                <w:rFonts w:ascii="仿宋_GB2312" w:hAnsi="仿宋_GB2312" w:cs="仿宋_GB2312" w:eastAsia="仿宋_GB2312"/>
                <w:sz w:val="24"/>
              </w:rPr>
              <w:t>六、项目成果及要求</w:t>
            </w:r>
          </w:p>
          <w:p>
            <w:pPr>
              <w:pStyle w:val="null3"/>
              <w:ind w:firstLine="480"/>
            </w:pPr>
            <w:r>
              <w:rPr>
                <w:rFonts w:ascii="仿宋_GB2312" w:hAnsi="仿宋_GB2312" w:cs="仿宋_GB2312" w:eastAsia="仿宋_GB2312"/>
                <w:sz w:val="24"/>
              </w:rPr>
              <w:t>1.原始检验记录；</w:t>
            </w:r>
            <w:r>
              <w:rPr>
                <w:rFonts w:ascii="仿宋_GB2312" w:hAnsi="仿宋_GB2312" w:cs="仿宋_GB2312" w:eastAsia="仿宋_GB2312"/>
                <w:sz w:val="24"/>
              </w:rPr>
              <w:t>现场监测视频及照片，</w:t>
            </w:r>
          </w:p>
          <w:p>
            <w:pPr>
              <w:pStyle w:val="null3"/>
              <w:ind w:firstLine="480"/>
            </w:pPr>
            <w:r>
              <w:rPr>
                <w:rFonts w:ascii="仿宋_GB2312" w:hAnsi="仿宋_GB2312" w:cs="仿宋_GB2312" w:eastAsia="仿宋_GB2312"/>
                <w:sz w:val="24"/>
              </w:rPr>
              <w:t>2.协助采购方做好各类检查报告、技术总结报告、数据处理分析及其他相关资料汇总；</w:t>
            </w:r>
          </w:p>
          <w:p>
            <w:pPr>
              <w:pStyle w:val="null3"/>
              <w:ind w:firstLine="480"/>
            </w:pPr>
            <w:r>
              <w:rPr>
                <w:rFonts w:ascii="仿宋_GB2312" w:hAnsi="仿宋_GB2312" w:cs="仿宋_GB2312" w:eastAsia="仿宋_GB2312"/>
                <w:sz w:val="24"/>
              </w:rPr>
              <w:t>3.项目实施完成后，提交的成果及项目实施情况经采购方确认后，并提交甲方验收。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标的名称：走航执法辅助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pPr>
            <w:r>
              <w:rPr>
                <w:rFonts w:ascii="仿宋_GB2312" w:hAnsi="仿宋_GB2312" w:cs="仿宋_GB2312" w:eastAsia="仿宋_GB2312"/>
                <w:sz w:val="24"/>
                <w:b/>
              </w:rPr>
              <w:t>一、采购清单</w:t>
            </w:r>
          </w:p>
          <w:tbl>
            <w:tblPr>
              <w:tblInd w:type="dxa" w:w="105"/>
              <w:tblBorders>
                <w:top w:val="none" w:color="000000" w:sz="4"/>
                <w:left w:val="none" w:color="000000" w:sz="4"/>
                <w:bottom w:val="none" w:color="000000" w:sz="4"/>
                <w:right w:val="none" w:color="000000" w:sz="4"/>
                <w:insideH w:val="none"/>
                <w:insideV w:val="none"/>
              </w:tblBorders>
            </w:tblPr>
            <w:tblGrid>
              <w:gridCol w:w="432"/>
              <w:gridCol w:w="930"/>
              <w:gridCol w:w="592"/>
              <w:gridCol w:w="598"/>
            </w:tblGrid>
            <w:tr>
              <w:tc>
                <w:tcPr>
                  <w:tcW w:type="dxa" w:w="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9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项目内容</w:t>
                  </w:r>
                </w:p>
              </w:tc>
              <w:tc>
                <w:tcPr>
                  <w:tcW w:type="dxa" w:w="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走航执法辅助</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w:t>
                  </w:r>
                </w:p>
              </w:tc>
            </w:tr>
          </w:tbl>
          <w:p>
            <w:pPr>
              <w:pStyle w:val="null3"/>
              <w:ind w:firstLine="420"/>
            </w:pPr>
            <w:r>
              <w:rPr>
                <w:rFonts w:ascii="仿宋_GB2312" w:hAnsi="仿宋_GB2312" w:cs="仿宋_GB2312" w:eastAsia="仿宋_GB2312"/>
                <w:sz w:val="24"/>
                <w:b/>
                <w:color w:val="000000"/>
              </w:rPr>
              <w:t>二、方案概述</w:t>
            </w:r>
          </w:p>
          <w:p>
            <w:pPr>
              <w:pStyle w:val="null3"/>
              <w:ind w:firstLine="480"/>
            </w:pPr>
            <w:r>
              <w:rPr>
                <w:rFonts w:ascii="仿宋_GB2312" w:hAnsi="仿宋_GB2312" w:cs="仿宋_GB2312" w:eastAsia="仿宋_GB2312"/>
                <w:sz w:val="24"/>
                <w:color w:val="000000"/>
              </w:rPr>
              <w:t>走航执法辅助</w:t>
            </w:r>
          </w:p>
          <w:p>
            <w:pPr>
              <w:pStyle w:val="null3"/>
              <w:ind w:firstLine="480"/>
            </w:pPr>
            <w:r>
              <w:rPr>
                <w:rFonts w:ascii="仿宋_GB2312" w:hAnsi="仿宋_GB2312" w:cs="仿宋_GB2312" w:eastAsia="仿宋_GB2312"/>
                <w:sz w:val="24"/>
                <w:color w:val="000000"/>
              </w:rPr>
              <w:t>利用走航执法辅助，对大气颗粒物、</w:t>
            </w:r>
            <w:r>
              <w:rPr>
                <w:rFonts w:ascii="仿宋_GB2312" w:hAnsi="仿宋_GB2312" w:cs="仿宋_GB2312" w:eastAsia="仿宋_GB2312"/>
                <w:sz w:val="24"/>
                <w:color w:val="000000"/>
              </w:rPr>
              <w:t>VOCs及其他气态污染物进行快速监测。计划开展50天。</w:t>
            </w:r>
          </w:p>
          <w:p>
            <w:pPr>
              <w:pStyle w:val="null3"/>
              <w:ind w:firstLine="420"/>
            </w:pPr>
            <w:r>
              <w:rPr>
                <w:rFonts w:ascii="仿宋_GB2312" w:hAnsi="仿宋_GB2312" w:cs="仿宋_GB2312" w:eastAsia="仿宋_GB2312"/>
                <w:sz w:val="24"/>
                <w:b/>
                <w:color w:val="000000"/>
              </w:rPr>
              <w:t>三、方案编制依据</w:t>
            </w:r>
          </w:p>
          <w:p>
            <w:pPr>
              <w:pStyle w:val="null3"/>
            </w:pPr>
            <w:r>
              <w:rPr>
                <w:rFonts w:ascii="仿宋_GB2312" w:hAnsi="仿宋_GB2312" w:cs="仿宋_GB2312" w:eastAsia="仿宋_GB2312"/>
                <w:sz w:val="24"/>
                <w:color w:val="000000"/>
              </w:rPr>
              <w:t>(一)相关政策文件法律法规及方案要求</w:t>
            </w:r>
          </w:p>
          <w:p>
            <w:pPr>
              <w:pStyle w:val="null3"/>
            </w:pPr>
            <w:r>
              <w:rPr>
                <w:rFonts w:ascii="仿宋_GB2312" w:hAnsi="仿宋_GB2312" w:cs="仿宋_GB2312" w:eastAsia="仿宋_GB2312"/>
                <w:sz w:val="24"/>
                <w:color w:val="000000"/>
              </w:rPr>
              <w:t>(1)《中共陕西省委陕西省人民政府关于印发〈陕西省大气污染治理专项行动方案〉（2023-2027年）的通知》（陕字〔2023〕4号）</w:t>
            </w:r>
          </w:p>
          <w:p>
            <w:pPr>
              <w:pStyle w:val="null3"/>
            </w:pPr>
            <w:r>
              <w:rPr>
                <w:rFonts w:ascii="仿宋_GB2312" w:hAnsi="仿宋_GB2312" w:cs="仿宋_GB2312" w:eastAsia="仿宋_GB2312"/>
                <w:sz w:val="24"/>
                <w:color w:val="000000"/>
              </w:rPr>
              <w:t>(2)《中共陕西省委陕西省人民政府关于成立省大气污染治理专项行动领导小组的通知》（陕字〔2023〕56号）</w:t>
            </w:r>
          </w:p>
          <w:p>
            <w:pPr>
              <w:pStyle w:val="null3"/>
            </w:pPr>
            <w:r>
              <w:rPr>
                <w:rFonts w:ascii="仿宋_GB2312" w:hAnsi="仿宋_GB2312" w:cs="仿宋_GB2312" w:eastAsia="仿宋_GB2312"/>
                <w:sz w:val="24"/>
                <w:color w:val="000000"/>
              </w:rPr>
              <w:t>(3)《陕西省2022年秋冬季大气污染综合治理攻坚行动方案》（陕治霾办函〔2022〕12号）</w:t>
            </w:r>
          </w:p>
          <w:p>
            <w:pPr>
              <w:pStyle w:val="null3"/>
            </w:pPr>
            <w:r>
              <w:rPr>
                <w:rFonts w:ascii="仿宋_GB2312" w:hAnsi="仿宋_GB2312" w:cs="仿宋_GB2312" w:eastAsia="仿宋_GB2312"/>
                <w:sz w:val="24"/>
                <w:color w:val="000000"/>
              </w:rPr>
              <w:t>(4)《陕西省人民政府办公厅关于印发“十四五”生态环境保护规划的通知》（陕政办发〔2021〕25号）</w:t>
            </w:r>
          </w:p>
          <w:p>
            <w:pPr>
              <w:pStyle w:val="null3"/>
            </w:pPr>
            <w:r>
              <w:rPr>
                <w:rFonts w:ascii="仿宋_GB2312" w:hAnsi="仿宋_GB2312" w:cs="仿宋_GB2312" w:eastAsia="仿宋_GB2312"/>
                <w:sz w:val="24"/>
                <w:color w:val="000000"/>
              </w:rPr>
              <w:t>(5)《关于优化生态环境保护执法方式提高执法效能的指导意见》（环执法〔2021〕1号）</w:t>
            </w:r>
          </w:p>
          <w:p>
            <w:pPr>
              <w:pStyle w:val="null3"/>
            </w:pPr>
            <w:r>
              <w:rPr>
                <w:rFonts w:ascii="仿宋_GB2312" w:hAnsi="仿宋_GB2312" w:cs="仿宋_GB2312" w:eastAsia="仿宋_GB2312"/>
                <w:sz w:val="24"/>
                <w:color w:val="000000"/>
              </w:rPr>
              <w:t>(6)《关于深化生态环境保护综合行政执法改革的指导意见》</w:t>
            </w:r>
          </w:p>
          <w:p>
            <w:pPr>
              <w:pStyle w:val="null3"/>
            </w:pPr>
            <w:r>
              <w:rPr>
                <w:rFonts w:ascii="仿宋_GB2312" w:hAnsi="仿宋_GB2312" w:cs="仿宋_GB2312" w:eastAsia="仿宋_GB2312"/>
                <w:sz w:val="24"/>
                <w:color w:val="000000"/>
              </w:rPr>
              <w:t>(7)《生态环境保护综合行政执法装备标准化建设指导标准（2020年版）》</w:t>
            </w:r>
          </w:p>
          <w:p>
            <w:pPr>
              <w:pStyle w:val="null3"/>
            </w:pPr>
            <w:r>
              <w:rPr>
                <w:rFonts w:ascii="仿宋_GB2312" w:hAnsi="仿宋_GB2312" w:cs="仿宋_GB2312" w:eastAsia="仿宋_GB2312"/>
                <w:sz w:val="24"/>
                <w:color w:val="000000"/>
              </w:rPr>
              <w:t>(8)《关于印发〈“十四五”生态环境保护综合行政执法队伍建设规划〉的通知》（环执法〔2021〕113号）</w:t>
            </w:r>
          </w:p>
          <w:p>
            <w:pPr>
              <w:pStyle w:val="null3"/>
            </w:pPr>
            <w:r>
              <w:rPr>
                <w:rFonts w:ascii="仿宋_GB2312" w:hAnsi="仿宋_GB2312" w:cs="仿宋_GB2312" w:eastAsia="仿宋_GB2312"/>
                <w:sz w:val="24"/>
                <w:color w:val="000000"/>
              </w:rPr>
              <w:t>(9)《2020年挥发性有机物治理攻坚方案》（环办〔2020〕141号）</w:t>
            </w:r>
          </w:p>
          <w:p>
            <w:pPr>
              <w:pStyle w:val="null3"/>
            </w:pPr>
            <w:r>
              <w:rPr>
                <w:rFonts w:ascii="仿宋_GB2312" w:hAnsi="仿宋_GB2312" w:cs="仿宋_GB2312" w:eastAsia="仿宋_GB2312"/>
                <w:sz w:val="24"/>
                <w:color w:val="000000"/>
              </w:rPr>
              <w:t>(10)《关于加强挥发性有机物监测工作的通知》（环办监测函〔2020〕335号）</w:t>
            </w:r>
          </w:p>
          <w:p>
            <w:pPr>
              <w:pStyle w:val="null3"/>
            </w:pPr>
            <w:r>
              <w:rPr>
                <w:rFonts w:ascii="仿宋_GB2312" w:hAnsi="仿宋_GB2312" w:cs="仿宋_GB2312" w:eastAsia="仿宋_GB2312"/>
                <w:sz w:val="24"/>
                <w:color w:val="000000"/>
              </w:rPr>
              <w:t>(11)《关于开展夏季挥发性有机物走航监测的通知》（监测函〔2020〕23号）</w:t>
            </w:r>
          </w:p>
          <w:p>
            <w:pPr>
              <w:pStyle w:val="null3"/>
            </w:pPr>
            <w:r>
              <w:rPr>
                <w:rFonts w:ascii="仿宋_GB2312" w:hAnsi="仿宋_GB2312" w:cs="仿宋_GB2312" w:eastAsia="仿宋_GB2312"/>
                <w:sz w:val="24"/>
                <w:color w:val="000000"/>
              </w:rPr>
              <w:t>（二）相关技术标准规范</w:t>
            </w:r>
          </w:p>
          <w:p>
            <w:pPr>
              <w:pStyle w:val="null3"/>
            </w:pPr>
            <w:r>
              <w:rPr>
                <w:rFonts w:ascii="仿宋_GB2312" w:hAnsi="仿宋_GB2312" w:cs="仿宋_GB2312" w:eastAsia="仿宋_GB2312"/>
                <w:sz w:val="24"/>
                <w:color w:val="000000"/>
              </w:rPr>
              <w:t>(1)《环境空气质量标准》（GB 3095-2012）</w:t>
            </w:r>
          </w:p>
          <w:p>
            <w:pPr>
              <w:pStyle w:val="null3"/>
            </w:pPr>
            <w:r>
              <w:rPr>
                <w:rFonts w:ascii="仿宋_GB2312" w:hAnsi="仿宋_GB2312" w:cs="仿宋_GB2312" w:eastAsia="仿宋_GB2312"/>
                <w:sz w:val="24"/>
                <w:color w:val="000000"/>
              </w:rPr>
              <w:t>(2)《挥发性有机物无组织排放控制标准》（GB 37822-2019）</w:t>
            </w:r>
          </w:p>
          <w:p>
            <w:pPr>
              <w:pStyle w:val="null3"/>
            </w:pPr>
            <w:r>
              <w:rPr>
                <w:rFonts w:ascii="仿宋_GB2312" w:hAnsi="仿宋_GB2312" w:cs="仿宋_GB2312" w:eastAsia="仿宋_GB2312"/>
                <w:sz w:val="24"/>
                <w:color w:val="000000"/>
              </w:rPr>
              <w:t>(3)《环境空气挥发性有机物的测定便携式气相色谱-质谱法》（征求意见稿）</w:t>
            </w:r>
          </w:p>
          <w:p>
            <w:pPr>
              <w:pStyle w:val="null3"/>
            </w:pPr>
            <w:r>
              <w:rPr>
                <w:rFonts w:ascii="仿宋_GB2312" w:hAnsi="仿宋_GB2312" w:cs="仿宋_GB2312" w:eastAsia="仿宋_GB2312"/>
                <w:sz w:val="24"/>
                <w:color w:val="000000"/>
              </w:rPr>
              <w:t>(4)《固定污染源废气挥发性有机物的测定便携式气相色谱-质谱法》（征求意见稿）</w:t>
            </w:r>
          </w:p>
          <w:p>
            <w:pPr>
              <w:pStyle w:val="null3"/>
            </w:pPr>
            <w:r>
              <w:rPr>
                <w:rFonts w:ascii="仿宋_GB2312" w:hAnsi="仿宋_GB2312" w:cs="仿宋_GB2312" w:eastAsia="仿宋_GB2312"/>
                <w:sz w:val="24"/>
                <w:color w:val="000000"/>
              </w:rPr>
              <w:t>(5)《挥发性有机物排放控制标准》（DB 61/T1061-2017）</w:t>
            </w:r>
          </w:p>
          <w:p>
            <w:pPr>
              <w:pStyle w:val="null3"/>
            </w:pPr>
            <w:r>
              <w:rPr>
                <w:rFonts w:ascii="仿宋_GB2312" w:hAnsi="仿宋_GB2312" w:cs="仿宋_GB2312" w:eastAsia="仿宋_GB2312"/>
                <w:sz w:val="24"/>
                <w:color w:val="000000"/>
              </w:rPr>
              <w:t>(6)《2018年重点地区环境空气挥发性有机物监测方案》（环办监测函〔2017〕2024号）</w:t>
            </w:r>
          </w:p>
          <w:p>
            <w:pPr>
              <w:pStyle w:val="null3"/>
            </w:pPr>
            <w:r>
              <w:rPr>
                <w:rFonts w:ascii="仿宋_GB2312" w:hAnsi="仿宋_GB2312" w:cs="仿宋_GB2312" w:eastAsia="仿宋_GB2312"/>
                <w:sz w:val="24"/>
                <w:color w:val="000000"/>
              </w:rPr>
              <w:t>(7)《大气环境监测移动实验室通用技术规范》（GB/T 37940-2019）</w:t>
            </w:r>
          </w:p>
          <w:p>
            <w:pPr>
              <w:pStyle w:val="null3"/>
            </w:pPr>
            <w:r>
              <w:rPr>
                <w:rFonts w:ascii="仿宋_GB2312" w:hAnsi="仿宋_GB2312" w:cs="仿宋_GB2312" w:eastAsia="仿宋_GB2312"/>
                <w:sz w:val="24"/>
                <w:color w:val="000000"/>
              </w:rPr>
              <w:t>(8)《生活垃圾焚烧污染物控制标准》（GB 18485-2001）。</w:t>
            </w:r>
          </w:p>
          <w:p>
            <w:pPr>
              <w:pStyle w:val="null3"/>
            </w:pPr>
            <w:r>
              <w:rPr>
                <w:rFonts w:ascii="仿宋_GB2312" w:hAnsi="仿宋_GB2312" w:cs="仿宋_GB2312" w:eastAsia="仿宋_GB2312"/>
                <w:sz w:val="24"/>
                <w:color w:val="000000"/>
              </w:rPr>
              <w:t>(9)《非道路移动机械用柴油机排气污染物排放限值及测量方法（中国第三、四阶段）（GB20891-2014）</w:t>
            </w:r>
          </w:p>
          <w:p>
            <w:pPr>
              <w:pStyle w:val="null3"/>
            </w:pPr>
            <w:r>
              <w:rPr>
                <w:rFonts w:ascii="仿宋_GB2312" w:hAnsi="仿宋_GB2312" w:cs="仿宋_GB2312" w:eastAsia="仿宋_GB2312"/>
                <w:sz w:val="24"/>
                <w:color w:val="000000"/>
              </w:rPr>
              <w:t>(10)《非道路移动机械用柴油机排气污染物排放限值及测量方法（中国I、II阶段）》（GB20891-2007）</w:t>
            </w:r>
          </w:p>
          <w:p>
            <w:pPr>
              <w:pStyle w:val="null3"/>
            </w:pPr>
            <w:r>
              <w:rPr>
                <w:rFonts w:ascii="仿宋_GB2312" w:hAnsi="仿宋_GB2312" w:cs="仿宋_GB2312" w:eastAsia="仿宋_GB2312"/>
                <w:sz w:val="24"/>
                <w:color w:val="000000"/>
              </w:rPr>
              <w:t>(11)《关于开展在用柴油车和非道路移动机械排气污染物深度治理工作的通知》（陕环大气函〔2020〕3号）</w:t>
            </w:r>
          </w:p>
          <w:p>
            <w:pPr>
              <w:pStyle w:val="null3"/>
            </w:pPr>
            <w:r>
              <w:rPr>
                <w:rFonts w:ascii="仿宋_GB2312" w:hAnsi="仿宋_GB2312" w:cs="仿宋_GB2312" w:eastAsia="仿宋_GB2312"/>
                <w:sz w:val="24"/>
                <w:color w:val="000000"/>
              </w:rPr>
              <w:t>(12)《关中地区重点行业大气污染物排放标准》（DB 61/941-2018）</w:t>
            </w:r>
          </w:p>
          <w:p>
            <w:pPr>
              <w:pStyle w:val="null3"/>
            </w:pPr>
            <w:r>
              <w:rPr>
                <w:rFonts w:ascii="仿宋_GB2312" w:hAnsi="仿宋_GB2312" w:cs="仿宋_GB2312" w:eastAsia="仿宋_GB2312"/>
                <w:sz w:val="24"/>
                <w:color w:val="000000"/>
              </w:rPr>
              <w:t>(13)《大气污染物综合排放标准》（GB 16297-1996）</w:t>
            </w:r>
          </w:p>
          <w:p>
            <w:pPr>
              <w:pStyle w:val="null3"/>
            </w:pPr>
            <w:r>
              <w:rPr>
                <w:rFonts w:ascii="仿宋_GB2312" w:hAnsi="仿宋_GB2312" w:cs="仿宋_GB2312" w:eastAsia="仿宋_GB2312"/>
                <w:sz w:val="24"/>
              </w:rPr>
              <w:t>(14)《固定污染源废气挥发性有机物监测技术规范》（DB 61/T1658-2023）</w:t>
            </w:r>
          </w:p>
          <w:p>
            <w:pPr>
              <w:pStyle w:val="null3"/>
              <w:ind w:firstLine="420"/>
            </w:pPr>
            <w:r>
              <w:rPr>
                <w:rFonts w:ascii="仿宋_GB2312" w:hAnsi="仿宋_GB2312" w:cs="仿宋_GB2312" w:eastAsia="仿宋_GB2312"/>
                <w:sz w:val="24"/>
                <w:b/>
              </w:rPr>
              <w:t>四、服务内容</w:t>
            </w:r>
          </w:p>
          <w:p>
            <w:pPr>
              <w:pStyle w:val="null3"/>
            </w:pPr>
            <w:r>
              <w:rPr>
                <w:rFonts w:ascii="仿宋_GB2312" w:hAnsi="仿宋_GB2312" w:cs="仿宋_GB2312" w:eastAsia="仿宋_GB2312"/>
                <w:sz w:val="24"/>
                <w:b/>
              </w:rPr>
              <w:t>（一）实施计划</w:t>
            </w:r>
          </w:p>
          <w:p>
            <w:pPr>
              <w:pStyle w:val="null3"/>
            </w:pPr>
            <w:r>
              <w:rPr>
                <w:rFonts w:ascii="仿宋_GB2312" w:hAnsi="仿宋_GB2312" w:cs="仿宋_GB2312" w:eastAsia="仿宋_GB2312"/>
                <w:sz w:val="24"/>
                <w:b/>
              </w:rPr>
              <w:t>1、服务内容</w:t>
            </w:r>
          </w:p>
          <w:p>
            <w:pPr>
              <w:pStyle w:val="null3"/>
              <w:ind w:firstLine="480"/>
            </w:pPr>
            <w:r>
              <w:rPr>
                <w:rFonts w:ascii="仿宋_GB2312" w:hAnsi="仿宋_GB2312" w:cs="仿宋_GB2312" w:eastAsia="仿宋_GB2312"/>
                <w:sz w:val="24"/>
              </w:rPr>
              <w:t>由省大气污染治理专项行动领导小组办公室督导检查组组织进行对各市（区）大气污染治理工作进行督查帮扶，根据环境空气质量监测数据，使用先进技术装备，对重点领域、重点区域、重点行业开展现场抽查、数据验证。走航执法辅助。</w:t>
            </w:r>
          </w:p>
          <w:p>
            <w:pPr>
              <w:pStyle w:val="null3"/>
            </w:pPr>
            <w:r>
              <w:rPr>
                <w:rFonts w:ascii="仿宋_GB2312" w:hAnsi="仿宋_GB2312" w:cs="仿宋_GB2312" w:eastAsia="仿宋_GB2312"/>
                <w:sz w:val="24"/>
              </w:rPr>
              <w:t>2、</w:t>
            </w:r>
            <w:r>
              <w:rPr>
                <w:rFonts w:ascii="仿宋_GB2312" w:hAnsi="仿宋_GB2312" w:cs="仿宋_GB2312" w:eastAsia="仿宋_GB2312"/>
                <w:sz w:val="24"/>
                <w:b/>
              </w:rPr>
              <w:t>走航设备</w:t>
            </w:r>
          </w:p>
          <w:p>
            <w:pPr>
              <w:pStyle w:val="null3"/>
              <w:ind w:firstLine="480"/>
            </w:pPr>
            <w:r>
              <w:rPr>
                <w:rFonts w:ascii="仿宋_GB2312" w:hAnsi="仿宋_GB2312" w:cs="仿宋_GB2312" w:eastAsia="仿宋_GB2312"/>
                <w:sz w:val="24"/>
              </w:rPr>
              <w:t>（一）</w:t>
            </w:r>
            <w:r>
              <w:rPr>
                <w:rFonts w:ascii="仿宋_GB2312" w:hAnsi="仿宋_GB2312" w:cs="仿宋_GB2312" w:eastAsia="仿宋_GB2312"/>
                <w:sz w:val="24"/>
              </w:rPr>
              <w:t>车载多参数走航监测设备</w:t>
            </w:r>
          </w:p>
          <w:p>
            <w:pPr>
              <w:pStyle w:val="null3"/>
              <w:numPr>
                <w:ilvl w:val="0"/>
                <w:numId w:val="1"/>
              </w:numPr>
              <w:jc w:val="both"/>
            </w:pPr>
            <w:r>
              <w:rPr>
                <w:rFonts w:ascii="仿宋_GB2312" w:hAnsi="仿宋_GB2312" w:cs="仿宋_GB2312" w:eastAsia="仿宋_GB2312"/>
                <w:sz w:val="24"/>
              </w:rPr>
              <w:t>监测指标：</w:t>
            </w:r>
            <w:r>
              <w:rPr>
                <w:rFonts w:ascii="仿宋_GB2312" w:hAnsi="仿宋_GB2312" w:cs="仿宋_GB2312" w:eastAsia="仿宋_GB2312"/>
                <w:sz w:val="24"/>
              </w:rPr>
              <w:t>SO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NO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CO、O</w:t>
            </w:r>
            <w:r>
              <w:rPr>
                <w:rFonts w:ascii="仿宋_GB2312" w:hAnsi="仿宋_GB2312" w:cs="仿宋_GB2312" w:eastAsia="仿宋_GB2312"/>
                <w:sz w:val="24"/>
                <w:vertAlign w:val="subscript"/>
              </w:rPr>
              <w:t>3</w:t>
            </w:r>
            <w:r>
              <w:rPr>
                <w:rFonts w:ascii="仿宋_GB2312" w:hAnsi="仿宋_GB2312" w:cs="仿宋_GB2312" w:eastAsia="仿宋_GB2312"/>
                <w:sz w:val="24"/>
              </w:rPr>
              <w:t>、</w:t>
            </w:r>
            <w:r>
              <w:rPr>
                <w:rFonts w:ascii="仿宋_GB2312" w:hAnsi="仿宋_GB2312" w:cs="仿宋_GB2312" w:eastAsia="仿宋_GB2312"/>
                <w:sz w:val="24"/>
              </w:rPr>
              <w:t>PM</w:t>
            </w:r>
            <w:r>
              <w:rPr>
                <w:rFonts w:ascii="仿宋_GB2312" w:hAnsi="仿宋_GB2312" w:cs="仿宋_GB2312" w:eastAsia="仿宋_GB2312"/>
                <w:sz w:val="24"/>
                <w:vertAlign w:val="subscript"/>
              </w:rPr>
              <w:t>10</w:t>
            </w:r>
            <w:r>
              <w:rPr>
                <w:rFonts w:ascii="仿宋_GB2312" w:hAnsi="仿宋_GB2312" w:cs="仿宋_GB2312" w:eastAsia="仿宋_GB2312"/>
                <w:sz w:val="24"/>
              </w:rPr>
              <w:t>、</w:t>
            </w:r>
            <w:r>
              <w:rPr>
                <w:rFonts w:ascii="仿宋_GB2312" w:hAnsi="仿宋_GB2312" w:cs="仿宋_GB2312" w:eastAsia="仿宋_GB2312"/>
                <w:sz w:val="24"/>
              </w:rPr>
              <w:t>PM</w:t>
            </w:r>
            <w:r>
              <w:rPr>
                <w:rFonts w:ascii="仿宋_GB2312" w:hAnsi="仿宋_GB2312" w:cs="仿宋_GB2312" w:eastAsia="仿宋_GB2312"/>
                <w:sz w:val="24"/>
                <w:vertAlign w:val="subscript"/>
              </w:rPr>
              <w:t>2.5</w:t>
            </w:r>
            <w:r>
              <w:rPr>
                <w:rFonts w:ascii="仿宋_GB2312" w:hAnsi="仿宋_GB2312" w:cs="仿宋_GB2312" w:eastAsia="仿宋_GB2312"/>
                <w:sz w:val="24"/>
              </w:rPr>
              <w:t>、</w:t>
            </w:r>
            <w:r>
              <w:rPr>
                <w:rFonts w:ascii="仿宋_GB2312" w:hAnsi="仿宋_GB2312" w:cs="仿宋_GB2312" w:eastAsia="仿宋_GB2312"/>
                <w:sz w:val="24"/>
              </w:rPr>
              <w:t>TVOC</w:t>
            </w:r>
          </w:p>
          <w:p>
            <w:pPr>
              <w:pStyle w:val="null3"/>
              <w:numPr>
                <w:ilvl w:val="0"/>
                <w:numId w:val="1"/>
              </w:numPr>
              <w:jc w:val="both"/>
            </w:pPr>
            <w:r>
              <w:rPr>
                <w:rFonts w:ascii="仿宋_GB2312" w:hAnsi="仿宋_GB2312" w:cs="仿宋_GB2312" w:eastAsia="仿宋_GB2312"/>
                <w:sz w:val="24"/>
              </w:rPr>
              <w:t>监测原理：电化学法（</w:t>
            </w:r>
            <w:r>
              <w:rPr>
                <w:rFonts w:ascii="仿宋_GB2312" w:hAnsi="仿宋_GB2312" w:cs="仿宋_GB2312" w:eastAsia="仿宋_GB2312"/>
                <w:sz w:val="24"/>
              </w:rPr>
              <w:t>SO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NO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CO、O</w:t>
            </w:r>
            <w:r>
              <w:rPr>
                <w:rFonts w:ascii="仿宋_GB2312" w:hAnsi="仿宋_GB2312" w:cs="仿宋_GB2312" w:eastAsia="仿宋_GB2312"/>
                <w:sz w:val="24"/>
                <w:vertAlign w:val="subscript"/>
              </w:rPr>
              <w:t>3</w:t>
            </w:r>
            <w:r>
              <w:rPr>
                <w:rFonts w:ascii="仿宋_GB2312" w:hAnsi="仿宋_GB2312" w:cs="仿宋_GB2312" w:eastAsia="仿宋_GB2312"/>
                <w:sz w:val="24"/>
              </w:rPr>
              <w:t>、</w:t>
            </w:r>
            <w:r>
              <w:rPr>
                <w:rFonts w:ascii="仿宋_GB2312" w:hAnsi="仿宋_GB2312" w:cs="仿宋_GB2312" w:eastAsia="仿宋_GB2312"/>
                <w:sz w:val="24"/>
              </w:rPr>
              <w:t>TVOC）、光散射法（PM</w:t>
            </w:r>
            <w:r>
              <w:rPr>
                <w:rFonts w:ascii="仿宋_GB2312" w:hAnsi="仿宋_GB2312" w:cs="仿宋_GB2312" w:eastAsia="仿宋_GB2312"/>
                <w:sz w:val="24"/>
                <w:vertAlign w:val="subscript"/>
              </w:rPr>
              <w:t>10</w:t>
            </w:r>
            <w:r>
              <w:rPr>
                <w:rFonts w:ascii="仿宋_GB2312" w:hAnsi="仿宋_GB2312" w:cs="仿宋_GB2312" w:eastAsia="仿宋_GB2312"/>
                <w:sz w:val="24"/>
              </w:rPr>
              <w:t>、</w:t>
            </w:r>
            <w:r>
              <w:rPr>
                <w:rFonts w:ascii="仿宋_GB2312" w:hAnsi="仿宋_GB2312" w:cs="仿宋_GB2312" w:eastAsia="仿宋_GB2312"/>
                <w:sz w:val="24"/>
              </w:rPr>
              <w:t>PM</w:t>
            </w:r>
            <w:r>
              <w:rPr>
                <w:rFonts w:ascii="仿宋_GB2312" w:hAnsi="仿宋_GB2312" w:cs="仿宋_GB2312" w:eastAsia="仿宋_GB2312"/>
                <w:sz w:val="24"/>
                <w:vertAlign w:val="subscript"/>
              </w:rPr>
              <w:t>2.5</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color w:val="000000"/>
              </w:rPr>
              <w:t>▲</w:t>
            </w:r>
            <w:r>
              <w:rPr>
                <w:rFonts w:ascii="仿宋_GB2312" w:hAnsi="仿宋_GB2312" w:cs="仿宋_GB2312" w:eastAsia="仿宋_GB2312"/>
                <w:sz w:val="24"/>
              </w:rPr>
              <w:t>污染物监测技术指标：（</w:t>
            </w:r>
            <w:r>
              <w:rPr>
                <w:rFonts w:ascii="仿宋_GB2312" w:hAnsi="仿宋_GB2312" w:cs="仿宋_GB2312" w:eastAsia="仿宋_GB2312"/>
                <w:sz w:val="24"/>
                <w:b/>
              </w:rPr>
              <w:t>以下参数须提供具有</w:t>
            </w:r>
            <w:r>
              <w:rPr>
                <w:rFonts w:ascii="仿宋_GB2312" w:hAnsi="仿宋_GB2312" w:cs="仿宋_GB2312" w:eastAsia="仿宋_GB2312"/>
                <w:sz w:val="24"/>
                <w:b/>
              </w:rPr>
              <w:t>CMA资质认证机构出具的检验报告</w:t>
            </w:r>
            <w:r>
              <w:rPr>
                <w:rFonts w:ascii="仿宋_GB2312" w:hAnsi="仿宋_GB2312" w:cs="仿宋_GB2312" w:eastAsia="仿宋_GB2312"/>
                <w:sz w:val="24"/>
                <w:b/>
              </w:rPr>
              <w:t>进行佐证</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颗粒物（</w:t>
            </w:r>
            <w:r>
              <w:rPr>
                <w:rFonts w:ascii="仿宋_GB2312" w:hAnsi="仿宋_GB2312" w:cs="仿宋_GB2312" w:eastAsia="仿宋_GB2312"/>
                <w:sz w:val="24"/>
              </w:rPr>
              <w:t>PM</w:t>
            </w:r>
            <w:r>
              <w:rPr>
                <w:rFonts w:ascii="仿宋_GB2312" w:hAnsi="仿宋_GB2312" w:cs="仿宋_GB2312" w:eastAsia="仿宋_GB2312"/>
                <w:sz w:val="24"/>
                <w:vertAlign w:val="subscript"/>
              </w:rPr>
              <w:t>10</w:t>
            </w:r>
            <w:r>
              <w:rPr>
                <w:rFonts w:ascii="仿宋_GB2312" w:hAnsi="仿宋_GB2312" w:cs="仿宋_GB2312" w:eastAsia="仿宋_GB2312"/>
                <w:sz w:val="24"/>
              </w:rPr>
              <w:t>、</w:t>
            </w:r>
            <w:r>
              <w:rPr>
                <w:rFonts w:ascii="仿宋_GB2312" w:hAnsi="仿宋_GB2312" w:cs="仿宋_GB2312" w:eastAsia="仿宋_GB2312"/>
                <w:sz w:val="24"/>
              </w:rPr>
              <w:t>PM</w:t>
            </w:r>
            <w:r>
              <w:rPr>
                <w:rFonts w:ascii="仿宋_GB2312" w:hAnsi="仿宋_GB2312" w:cs="仿宋_GB2312" w:eastAsia="仿宋_GB2312"/>
                <w:sz w:val="24"/>
                <w:vertAlign w:val="subscript"/>
              </w:rPr>
              <w:t>2.5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①</w:t>
            </w:r>
            <w:r>
              <w:rPr>
                <w:rFonts w:ascii="仿宋_GB2312" w:hAnsi="仿宋_GB2312" w:cs="仿宋_GB2312" w:eastAsia="仿宋_GB2312"/>
                <w:sz w:val="24"/>
              </w:rPr>
              <w:t>测量范围：</w:t>
            </w:r>
            <w:r>
              <w:rPr>
                <w:rFonts w:ascii="仿宋_GB2312" w:hAnsi="仿宋_GB2312" w:cs="仿宋_GB2312" w:eastAsia="仿宋_GB2312"/>
                <w:sz w:val="24"/>
              </w:rPr>
              <w:t>0~1000ug/m</w:t>
            </w:r>
            <w:r>
              <w:rPr>
                <w:rFonts w:ascii="仿宋_GB2312" w:hAnsi="仿宋_GB2312" w:cs="仿宋_GB2312" w:eastAsia="仿宋_GB2312"/>
                <w:sz w:val="24"/>
                <w:vertAlign w:val="superscript"/>
              </w:rPr>
              <w:t>3</w:t>
            </w:r>
            <w:r>
              <w:rPr>
                <w:rFonts w:ascii="仿宋_GB2312" w:hAnsi="仿宋_GB2312" w:cs="仿宋_GB2312" w:eastAsia="仿宋_GB2312"/>
                <w:sz w:val="24"/>
              </w:rPr>
              <w:t>②</w:t>
            </w:r>
            <w:r>
              <w:rPr>
                <w:rFonts w:ascii="仿宋_GB2312" w:hAnsi="仿宋_GB2312" w:cs="仿宋_GB2312" w:eastAsia="仿宋_GB2312"/>
                <w:sz w:val="24"/>
              </w:rPr>
              <w:t>平行性：</w:t>
            </w:r>
            <w:r>
              <w:rPr>
                <w:rFonts w:ascii="仿宋_GB2312" w:hAnsi="仿宋_GB2312" w:cs="仿宋_GB2312" w:eastAsia="仿宋_GB2312"/>
                <w:sz w:val="24"/>
              </w:rPr>
              <w:t>≤7%</w:t>
            </w:r>
            <w:r>
              <w:rPr>
                <w:rFonts w:ascii="仿宋_GB2312" w:hAnsi="仿宋_GB2312" w:cs="仿宋_GB2312" w:eastAsia="仿宋_GB2312"/>
                <w:sz w:val="24"/>
              </w:rPr>
              <w:t>③</w:t>
            </w:r>
            <w:r>
              <w:rPr>
                <w:rFonts w:ascii="仿宋_GB2312" w:hAnsi="仿宋_GB2312" w:cs="仿宋_GB2312" w:eastAsia="仿宋_GB2312"/>
                <w:sz w:val="24"/>
              </w:rPr>
              <w:t>重复性：</w:t>
            </w:r>
            <w:r>
              <w:rPr>
                <w:rFonts w:ascii="仿宋_GB2312" w:hAnsi="仿宋_GB2312" w:cs="仿宋_GB2312" w:eastAsia="仿宋_GB2312"/>
                <w:sz w:val="24"/>
              </w:rPr>
              <w:t>≤3%</w:t>
            </w:r>
          </w:p>
          <w:p>
            <w:pPr>
              <w:pStyle w:val="null3"/>
              <w:ind w:firstLine="480"/>
              <w:jc w:val="both"/>
            </w:pPr>
            <w:r>
              <w:rPr>
                <w:rFonts w:ascii="仿宋_GB2312" w:hAnsi="仿宋_GB2312" w:cs="仿宋_GB2312" w:eastAsia="仿宋_GB2312"/>
                <w:sz w:val="24"/>
              </w:rPr>
              <w:t>SO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①</w:t>
            </w:r>
            <w:r>
              <w:rPr>
                <w:rFonts w:ascii="仿宋_GB2312" w:hAnsi="仿宋_GB2312" w:cs="仿宋_GB2312" w:eastAsia="仿宋_GB2312"/>
                <w:sz w:val="24"/>
              </w:rPr>
              <w:t>测量范围：</w:t>
            </w:r>
            <w:r>
              <w:rPr>
                <w:rFonts w:ascii="仿宋_GB2312" w:hAnsi="仿宋_GB2312" w:cs="仿宋_GB2312" w:eastAsia="仿宋_GB2312"/>
                <w:sz w:val="24"/>
              </w:rPr>
              <w:t>0~500ppb</w:t>
            </w:r>
            <w:r>
              <w:rPr>
                <w:rFonts w:ascii="仿宋_GB2312" w:hAnsi="仿宋_GB2312" w:cs="仿宋_GB2312" w:eastAsia="仿宋_GB2312"/>
                <w:sz w:val="24"/>
              </w:rPr>
              <w:t>②</w:t>
            </w:r>
            <w:r>
              <w:rPr>
                <w:rFonts w:ascii="仿宋_GB2312" w:hAnsi="仿宋_GB2312" w:cs="仿宋_GB2312" w:eastAsia="仿宋_GB2312"/>
                <w:sz w:val="24"/>
              </w:rPr>
              <w:t>示值误差：</w:t>
            </w:r>
            <w:r>
              <w:rPr>
                <w:rFonts w:ascii="仿宋_GB2312" w:hAnsi="仿宋_GB2312" w:cs="仿宋_GB2312" w:eastAsia="仿宋_GB2312"/>
                <w:sz w:val="24"/>
              </w:rPr>
              <w:t>≤±1%F.S.</w:t>
            </w:r>
            <w:r>
              <w:rPr>
                <w:rFonts w:ascii="仿宋_GB2312" w:hAnsi="仿宋_GB2312" w:cs="仿宋_GB2312" w:eastAsia="仿宋_GB2312"/>
                <w:sz w:val="21"/>
              </w:rPr>
              <w:t xml:space="preserve"> </w:t>
            </w:r>
            <w:r>
              <w:rPr>
                <w:rFonts w:ascii="仿宋_GB2312" w:hAnsi="仿宋_GB2312" w:cs="仿宋_GB2312" w:eastAsia="仿宋_GB2312"/>
                <w:sz w:val="24"/>
              </w:rPr>
              <w:t>③</w:t>
            </w:r>
            <w:r>
              <w:rPr>
                <w:rFonts w:ascii="仿宋_GB2312" w:hAnsi="仿宋_GB2312" w:cs="仿宋_GB2312" w:eastAsia="仿宋_GB2312"/>
                <w:sz w:val="24"/>
              </w:rPr>
              <w:t>响应时间：</w:t>
            </w:r>
            <w:r>
              <w:rPr>
                <w:rFonts w:ascii="仿宋_GB2312" w:hAnsi="仿宋_GB2312" w:cs="仿宋_GB2312" w:eastAsia="仿宋_GB2312"/>
                <w:sz w:val="24"/>
              </w:rPr>
              <w:t>≤3s</w:t>
            </w:r>
          </w:p>
          <w:p>
            <w:pPr>
              <w:pStyle w:val="null3"/>
              <w:ind w:firstLine="480"/>
              <w:jc w:val="both"/>
            </w:pPr>
            <w:r>
              <w:rPr>
                <w:rFonts w:ascii="仿宋_GB2312" w:hAnsi="仿宋_GB2312" w:cs="仿宋_GB2312" w:eastAsia="仿宋_GB2312"/>
                <w:sz w:val="24"/>
              </w:rPr>
              <w:t>NO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①</w:t>
            </w:r>
            <w:r>
              <w:rPr>
                <w:rFonts w:ascii="仿宋_GB2312" w:hAnsi="仿宋_GB2312" w:cs="仿宋_GB2312" w:eastAsia="仿宋_GB2312"/>
                <w:sz w:val="24"/>
              </w:rPr>
              <w:t>测量范围：</w:t>
            </w:r>
            <w:r>
              <w:rPr>
                <w:rFonts w:ascii="仿宋_GB2312" w:hAnsi="仿宋_GB2312" w:cs="仿宋_GB2312" w:eastAsia="仿宋_GB2312"/>
                <w:sz w:val="24"/>
              </w:rPr>
              <w:t>0~500ppb</w:t>
            </w:r>
            <w:r>
              <w:rPr>
                <w:rFonts w:ascii="仿宋_GB2312" w:hAnsi="仿宋_GB2312" w:cs="仿宋_GB2312" w:eastAsia="仿宋_GB2312"/>
                <w:sz w:val="24"/>
              </w:rPr>
              <w:t>②</w:t>
            </w:r>
            <w:r>
              <w:rPr>
                <w:rFonts w:ascii="仿宋_GB2312" w:hAnsi="仿宋_GB2312" w:cs="仿宋_GB2312" w:eastAsia="仿宋_GB2312"/>
                <w:sz w:val="24"/>
              </w:rPr>
              <w:t>示值误差：</w:t>
            </w:r>
            <w:r>
              <w:rPr>
                <w:rFonts w:ascii="仿宋_GB2312" w:hAnsi="仿宋_GB2312" w:cs="仿宋_GB2312" w:eastAsia="仿宋_GB2312"/>
                <w:sz w:val="24"/>
              </w:rPr>
              <w:t>≤±1%F.S.</w:t>
            </w:r>
            <w:r>
              <w:rPr>
                <w:rFonts w:ascii="仿宋_GB2312" w:hAnsi="仿宋_GB2312" w:cs="仿宋_GB2312" w:eastAsia="仿宋_GB2312"/>
                <w:sz w:val="21"/>
              </w:rPr>
              <w:t xml:space="preserve"> </w:t>
            </w:r>
            <w:r>
              <w:rPr>
                <w:rFonts w:ascii="仿宋_GB2312" w:hAnsi="仿宋_GB2312" w:cs="仿宋_GB2312" w:eastAsia="仿宋_GB2312"/>
                <w:sz w:val="24"/>
              </w:rPr>
              <w:t>③</w:t>
            </w:r>
            <w:r>
              <w:rPr>
                <w:rFonts w:ascii="仿宋_GB2312" w:hAnsi="仿宋_GB2312" w:cs="仿宋_GB2312" w:eastAsia="仿宋_GB2312"/>
                <w:sz w:val="24"/>
              </w:rPr>
              <w:t>响应时间：</w:t>
            </w:r>
            <w:r>
              <w:rPr>
                <w:rFonts w:ascii="仿宋_GB2312" w:hAnsi="仿宋_GB2312" w:cs="仿宋_GB2312" w:eastAsia="仿宋_GB2312"/>
                <w:sz w:val="24"/>
              </w:rPr>
              <w:t>≤3s</w:t>
            </w:r>
          </w:p>
          <w:p>
            <w:pPr>
              <w:pStyle w:val="null3"/>
              <w:ind w:firstLine="480"/>
              <w:jc w:val="both"/>
            </w:pPr>
            <w:r>
              <w:rPr>
                <w:rFonts w:ascii="仿宋_GB2312" w:hAnsi="仿宋_GB2312" w:cs="仿宋_GB2312" w:eastAsia="仿宋_GB2312"/>
                <w:sz w:val="24"/>
              </w:rPr>
              <w:t>CO：</w:t>
            </w:r>
            <w:r>
              <w:rPr>
                <w:rFonts w:ascii="仿宋_GB2312" w:hAnsi="仿宋_GB2312" w:cs="仿宋_GB2312" w:eastAsia="仿宋_GB2312"/>
                <w:sz w:val="24"/>
              </w:rPr>
              <w:t>①</w:t>
            </w:r>
            <w:r>
              <w:rPr>
                <w:rFonts w:ascii="仿宋_GB2312" w:hAnsi="仿宋_GB2312" w:cs="仿宋_GB2312" w:eastAsia="仿宋_GB2312"/>
                <w:sz w:val="24"/>
              </w:rPr>
              <w:t>测量范围：</w:t>
            </w:r>
            <w:r>
              <w:rPr>
                <w:rFonts w:ascii="仿宋_GB2312" w:hAnsi="仿宋_GB2312" w:cs="仿宋_GB2312" w:eastAsia="仿宋_GB2312"/>
                <w:sz w:val="24"/>
              </w:rPr>
              <w:t>0~20ppm</w:t>
            </w:r>
            <w:r>
              <w:rPr>
                <w:rFonts w:ascii="仿宋_GB2312" w:hAnsi="仿宋_GB2312" w:cs="仿宋_GB2312" w:eastAsia="仿宋_GB2312"/>
                <w:sz w:val="24"/>
              </w:rPr>
              <w:t>②</w:t>
            </w:r>
            <w:r>
              <w:rPr>
                <w:rFonts w:ascii="仿宋_GB2312" w:hAnsi="仿宋_GB2312" w:cs="仿宋_GB2312" w:eastAsia="仿宋_GB2312"/>
                <w:sz w:val="24"/>
              </w:rPr>
              <w:t>示值误差：</w:t>
            </w:r>
            <w:r>
              <w:rPr>
                <w:rFonts w:ascii="仿宋_GB2312" w:hAnsi="仿宋_GB2312" w:cs="仿宋_GB2312" w:eastAsia="仿宋_GB2312"/>
                <w:sz w:val="24"/>
              </w:rPr>
              <w:t>≤±2%F.S.</w:t>
            </w:r>
            <w:r>
              <w:rPr>
                <w:rFonts w:ascii="仿宋_GB2312" w:hAnsi="仿宋_GB2312" w:cs="仿宋_GB2312" w:eastAsia="仿宋_GB2312"/>
                <w:sz w:val="21"/>
              </w:rPr>
              <w:t xml:space="preserve"> </w:t>
            </w:r>
            <w:r>
              <w:rPr>
                <w:rFonts w:ascii="仿宋_GB2312" w:hAnsi="仿宋_GB2312" w:cs="仿宋_GB2312" w:eastAsia="仿宋_GB2312"/>
                <w:sz w:val="24"/>
              </w:rPr>
              <w:t>③</w:t>
            </w:r>
            <w:r>
              <w:rPr>
                <w:rFonts w:ascii="仿宋_GB2312" w:hAnsi="仿宋_GB2312" w:cs="仿宋_GB2312" w:eastAsia="仿宋_GB2312"/>
                <w:sz w:val="24"/>
              </w:rPr>
              <w:t>响应时间：</w:t>
            </w:r>
            <w:r>
              <w:rPr>
                <w:rFonts w:ascii="仿宋_GB2312" w:hAnsi="仿宋_GB2312" w:cs="仿宋_GB2312" w:eastAsia="仿宋_GB2312"/>
                <w:sz w:val="24"/>
              </w:rPr>
              <w:t>≤3s</w:t>
            </w:r>
          </w:p>
          <w:p>
            <w:pPr>
              <w:pStyle w:val="null3"/>
              <w:ind w:firstLine="480"/>
              <w:jc w:val="both"/>
            </w:pPr>
            <w:r>
              <w:rPr>
                <w:rFonts w:ascii="仿宋_GB2312" w:hAnsi="仿宋_GB2312" w:cs="仿宋_GB2312" w:eastAsia="仿宋_GB2312"/>
                <w:sz w:val="24"/>
              </w:rPr>
              <w:t>O</w:t>
            </w:r>
            <w:r>
              <w:rPr>
                <w:rFonts w:ascii="仿宋_GB2312" w:hAnsi="仿宋_GB2312" w:cs="仿宋_GB2312" w:eastAsia="仿宋_GB2312"/>
                <w:sz w:val="24"/>
                <w:vertAlign w:val="subscript"/>
              </w:rPr>
              <w:t>3</w:t>
            </w:r>
            <w:r>
              <w:rPr>
                <w:rFonts w:ascii="仿宋_GB2312" w:hAnsi="仿宋_GB2312" w:cs="仿宋_GB2312" w:eastAsia="仿宋_GB2312"/>
                <w:sz w:val="24"/>
              </w:rPr>
              <w:t>：</w:t>
            </w:r>
            <w:r>
              <w:rPr>
                <w:rFonts w:ascii="仿宋_GB2312" w:hAnsi="仿宋_GB2312" w:cs="仿宋_GB2312" w:eastAsia="仿宋_GB2312"/>
                <w:sz w:val="24"/>
              </w:rPr>
              <w:t>①</w:t>
            </w:r>
            <w:r>
              <w:rPr>
                <w:rFonts w:ascii="仿宋_GB2312" w:hAnsi="仿宋_GB2312" w:cs="仿宋_GB2312" w:eastAsia="仿宋_GB2312"/>
                <w:sz w:val="24"/>
              </w:rPr>
              <w:t>测量范围：</w:t>
            </w:r>
            <w:r>
              <w:rPr>
                <w:rFonts w:ascii="仿宋_GB2312" w:hAnsi="仿宋_GB2312" w:cs="仿宋_GB2312" w:eastAsia="仿宋_GB2312"/>
                <w:sz w:val="24"/>
              </w:rPr>
              <w:t>0~500ppb</w:t>
            </w:r>
            <w:r>
              <w:rPr>
                <w:rFonts w:ascii="仿宋_GB2312" w:hAnsi="仿宋_GB2312" w:cs="仿宋_GB2312" w:eastAsia="仿宋_GB2312"/>
                <w:sz w:val="24"/>
              </w:rPr>
              <w:t>②</w:t>
            </w:r>
            <w:r>
              <w:rPr>
                <w:rFonts w:ascii="仿宋_GB2312" w:hAnsi="仿宋_GB2312" w:cs="仿宋_GB2312" w:eastAsia="仿宋_GB2312"/>
                <w:sz w:val="24"/>
              </w:rPr>
              <w:t>示值误差：</w:t>
            </w:r>
            <w:r>
              <w:rPr>
                <w:rFonts w:ascii="仿宋_GB2312" w:hAnsi="仿宋_GB2312" w:cs="仿宋_GB2312" w:eastAsia="仿宋_GB2312"/>
                <w:sz w:val="24"/>
              </w:rPr>
              <w:t>≤±1%F.S.</w:t>
            </w:r>
            <w:r>
              <w:rPr>
                <w:rFonts w:ascii="仿宋_GB2312" w:hAnsi="仿宋_GB2312" w:cs="仿宋_GB2312" w:eastAsia="仿宋_GB2312"/>
                <w:sz w:val="21"/>
              </w:rPr>
              <w:t xml:space="preserve"> </w:t>
            </w:r>
            <w:r>
              <w:rPr>
                <w:rFonts w:ascii="仿宋_GB2312" w:hAnsi="仿宋_GB2312" w:cs="仿宋_GB2312" w:eastAsia="仿宋_GB2312"/>
                <w:sz w:val="24"/>
              </w:rPr>
              <w:t>③</w:t>
            </w:r>
            <w:r>
              <w:rPr>
                <w:rFonts w:ascii="仿宋_GB2312" w:hAnsi="仿宋_GB2312" w:cs="仿宋_GB2312" w:eastAsia="仿宋_GB2312"/>
                <w:sz w:val="24"/>
              </w:rPr>
              <w:t>响应时间：</w:t>
            </w:r>
            <w:r>
              <w:rPr>
                <w:rFonts w:ascii="仿宋_GB2312" w:hAnsi="仿宋_GB2312" w:cs="仿宋_GB2312" w:eastAsia="仿宋_GB2312"/>
                <w:sz w:val="24"/>
              </w:rPr>
              <w:t>≤3s</w:t>
            </w:r>
          </w:p>
          <w:p>
            <w:pPr>
              <w:pStyle w:val="null3"/>
              <w:ind w:firstLine="480"/>
              <w:jc w:val="both"/>
            </w:pPr>
            <w:r>
              <w:rPr>
                <w:rFonts w:ascii="仿宋_GB2312" w:hAnsi="仿宋_GB2312" w:cs="仿宋_GB2312" w:eastAsia="仿宋_GB2312"/>
                <w:sz w:val="24"/>
              </w:rPr>
              <w:t>TVOC：</w:t>
            </w:r>
            <w:r>
              <w:rPr>
                <w:rFonts w:ascii="仿宋_GB2312" w:hAnsi="仿宋_GB2312" w:cs="仿宋_GB2312" w:eastAsia="仿宋_GB2312"/>
                <w:sz w:val="24"/>
              </w:rPr>
              <w:t>①</w:t>
            </w:r>
            <w:r>
              <w:rPr>
                <w:rFonts w:ascii="仿宋_GB2312" w:hAnsi="仿宋_GB2312" w:cs="仿宋_GB2312" w:eastAsia="仿宋_GB2312"/>
                <w:sz w:val="24"/>
              </w:rPr>
              <w:t>测量范围：</w:t>
            </w:r>
            <w:r>
              <w:rPr>
                <w:rFonts w:ascii="仿宋_GB2312" w:hAnsi="仿宋_GB2312" w:cs="仿宋_GB2312" w:eastAsia="仿宋_GB2312"/>
                <w:sz w:val="24"/>
              </w:rPr>
              <w:t>0~10ppm</w:t>
            </w:r>
            <w:r>
              <w:rPr>
                <w:rFonts w:ascii="仿宋_GB2312" w:hAnsi="仿宋_GB2312" w:cs="仿宋_GB2312" w:eastAsia="仿宋_GB2312"/>
                <w:sz w:val="24"/>
              </w:rPr>
              <w:t>②</w:t>
            </w:r>
            <w:r>
              <w:rPr>
                <w:rFonts w:ascii="仿宋_GB2312" w:hAnsi="仿宋_GB2312" w:cs="仿宋_GB2312" w:eastAsia="仿宋_GB2312"/>
                <w:sz w:val="24"/>
              </w:rPr>
              <w:t>示值误差：</w:t>
            </w:r>
            <w:r>
              <w:rPr>
                <w:rFonts w:ascii="仿宋_GB2312" w:hAnsi="仿宋_GB2312" w:cs="仿宋_GB2312" w:eastAsia="仿宋_GB2312"/>
                <w:sz w:val="24"/>
              </w:rPr>
              <w:t>≤±2%F.S.</w:t>
            </w:r>
            <w:r>
              <w:rPr>
                <w:rFonts w:ascii="仿宋_GB2312" w:hAnsi="仿宋_GB2312" w:cs="仿宋_GB2312" w:eastAsia="仿宋_GB2312"/>
                <w:sz w:val="21"/>
              </w:rPr>
              <w:t xml:space="preserve"> </w:t>
            </w:r>
            <w:r>
              <w:rPr>
                <w:rFonts w:ascii="仿宋_GB2312" w:hAnsi="仿宋_GB2312" w:cs="仿宋_GB2312" w:eastAsia="仿宋_GB2312"/>
                <w:sz w:val="24"/>
              </w:rPr>
              <w:t>③</w:t>
            </w:r>
            <w:r>
              <w:rPr>
                <w:rFonts w:ascii="仿宋_GB2312" w:hAnsi="仿宋_GB2312" w:cs="仿宋_GB2312" w:eastAsia="仿宋_GB2312"/>
                <w:sz w:val="24"/>
              </w:rPr>
              <w:t>响应时间：</w:t>
            </w:r>
            <w:r>
              <w:rPr>
                <w:rFonts w:ascii="仿宋_GB2312" w:hAnsi="仿宋_GB2312" w:cs="仿宋_GB2312" w:eastAsia="仿宋_GB2312"/>
                <w:sz w:val="24"/>
              </w:rPr>
              <w:t>≤3s</w:t>
            </w:r>
          </w:p>
          <w:p>
            <w:pPr>
              <w:pStyle w:val="null3"/>
              <w:numPr>
                <w:ilvl w:val="0"/>
                <w:numId w:val="1"/>
              </w:numPr>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支持多模式作业系统：单兵巡源、多人协同巡源、中心式调度巡源。（</w:t>
            </w:r>
            <w:r>
              <w:rPr>
                <w:rFonts w:ascii="仿宋_GB2312" w:hAnsi="仿宋_GB2312" w:cs="仿宋_GB2312" w:eastAsia="仿宋_GB2312"/>
                <w:sz w:val="24"/>
                <w:b/>
                <w:color w:val="000000"/>
              </w:rPr>
              <w:t>提供具有</w:t>
            </w:r>
            <w:r>
              <w:rPr>
                <w:rFonts w:ascii="仿宋_GB2312" w:hAnsi="仿宋_GB2312" w:cs="仿宋_GB2312" w:eastAsia="仿宋_GB2312"/>
                <w:sz w:val="24"/>
                <w:b/>
                <w:color w:val="000000"/>
              </w:rPr>
              <w:t>CMA资质认证机构出具的检验报告进行佐证</w:t>
            </w:r>
            <w:r>
              <w:rPr>
                <w:rFonts w:ascii="仿宋_GB2312" w:hAnsi="仿宋_GB2312" w:cs="仿宋_GB2312" w:eastAsia="仿宋_GB2312"/>
                <w:sz w:val="24"/>
                <w:color w:val="000000"/>
              </w:rPr>
              <w:t>）</w:t>
            </w:r>
          </w:p>
          <w:p>
            <w:pPr>
              <w:pStyle w:val="null3"/>
              <w:numPr>
                <w:ilvl w:val="0"/>
                <w:numId w:val="1"/>
              </w:numPr>
              <w:jc w:val="both"/>
            </w:pPr>
            <w:r>
              <w:rPr>
                <w:rFonts w:ascii="仿宋_GB2312" w:hAnsi="仿宋_GB2312" w:cs="仿宋_GB2312" w:eastAsia="仿宋_GB2312"/>
                <w:sz w:val="24"/>
                <w:color w:val="000000"/>
              </w:rPr>
              <w:t>安装方便，无需打孔，能够快速移动到其他移动监测平台。</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rPr>
              <w:t>VOCs走航监测质谱仪</w:t>
            </w:r>
          </w:p>
          <w:p>
            <w:pPr>
              <w:pStyle w:val="null3"/>
              <w:ind w:firstLine="482"/>
              <w:jc w:val="both"/>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设备用途</w:t>
            </w:r>
          </w:p>
          <w:p>
            <w:pPr>
              <w:pStyle w:val="null3"/>
              <w:ind w:firstLine="480"/>
              <w:jc w:val="both"/>
            </w:pPr>
            <w:r>
              <w:rPr>
                <w:rFonts w:ascii="仿宋_GB2312" w:hAnsi="仿宋_GB2312" w:cs="仿宋_GB2312" w:eastAsia="仿宋_GB2312"/>
                <w:sz w:val="24"/>
                <w:color w:val="000000"/>
              </w:rPr>
              <w:t>适用于空气中含氧有机物、含氮有机物、含硫有机物、苯系物等</w:t>
            </w:r>
            <w:r>
              <w:rPr>
                <w:rFonts w:ascii="仿宋_GB2312" w:hAnsi="仿宋_GB2312" w:cs="仿宋_GB2312" w:eastAsia="仿宋_GB2312"/>
                <w:sz w:val="24"/>
                <w:color w:val="000000"/>
              </w:rPr>
              <w:t>VOCs以及氨气、硫化氢等恶臭气体的实时在线定量分析，可连续工作，固定点监测或走航观测溯源。</w:t>
            </w:r>
          </w:p>
          <w:p>
            <w:pPr>
              <w:pStyle w:val="null3"/>
              <w:ind w:firstLine="482"/>
              <w:jc w:val="both"/>
            </w:pPr>
            <w:r>
              <w:rPr>
                <w:rFonts w:ascii="仿宋_GB2312" w:hAnsi="仿宋_GB2312" w:cs="仿宋_GB2312" w:eastAsia="仿宋_GB2312"/>
                <w:sz w:val="24"/>
                <w:color w:val="000000"/>
              </w:rPr>
              <w:t>(2)</w:t>
            </w:r>
            <w:r>
              <w:rPr>
                <w:rFonts w:ascii="仿宋_GB2312" w:hAnsi="仿宋_GB2312" w:cs="仿宋_GB2312" w:eastAsia="仿宋_GB2312"/>
                <w:sz w:val="24"/>
                <w:b/>
                <w:color w:val="000000"/>
              </w:rPr>
              <w:t>配置要求</w:t>
            </w:r>
          </w:p>
          <w:p>
            <w:pPr>
              <w:pStyle w:val="null3"/>
              <w:ind w:firstLine="480"/>
              <w:jc w:val="both"/>
            </w:pPr>
            <w:r>
              <w:rPr>
                <w:rFonts w:ascii="仿宋_GB2312" w:hAnsi="仿宋_GB2312" w:cs="仿宋_GB2312" w:eastAsia="仿宋_GB2312"/>
                <w:sz w:val="24"/>
                <w:color w:val="000000"/>
              </w:rPr>
              <w:t>车载质谱主机、车载质谱采集和分析软件、铂丝催化器和工控电脑、一年质保等。</w:t>
            </w:r>
          </w:p>
          <w:p>
            <w:pPr>
              <w:pStyle w:val="null3"/>
              <w:ind w:firstLine="482"/>
              <w:jc w:val="both"/>
            </w:pPr>
            <w:r>
              <w:rPr>
                <w:rFonts w:ascii="仿宋_GB2312" w:hAnsi="仿宋_GB2312" w:cs="仿宋_GB2312" w:eastAsia="仿宋_GB2312"/>
                <w:sz w:val="24"/>
                <w:color w:val="000000"/>
              </w:rPr>
              <w:t>(3)</w:t>
            </w:r>
            <w:r>
              <w:rPr>
                <w:rFonts w:ascii="仿宋_GB2312" w:hAnsi="仿宋_GB2312" w:cs="仿宋_GB2312" w:eastAsia="仿宋_GB2312"/>
                <w:sz w:val="24"/>
                <w:b/>
                <w:color w:val="000000"/>
              </w:rPr>
              <w:t>技术参数</w:t>
            </w:r>
          </w:p>
          <w:p>
            <w:pPr>
              <w:pStyle w:val="null3"/>
              <w:ind w:firstLine="482"/>
              <w:jc w:val="both"/>
            </w:pPr>
            <w:r>
              <w:rPr>
                <w:rFonts w:ascii="仿宋_GB2312" w:hAnsi="仿宋_GB2312" w:cs="仿宋_GB2312" w:eastAsia="仿宋_GB2312"/>
                <w:sz w:val="24"/>
                <w:b/>
                <w:color w:val="000000"/>
              </w:rPr>
              <w:t>工作条件：</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220V±10%/10A，50Hz（接地良好）；</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走航功率：</w:t>
            </w:r>
            <w:r>
              <w:rPr>
                <w:rFonts w:ascii="仿宋_GB2312" w:hAnsi="仿宋_GB2312" w:cs="仿宋_GB2312" w:eastAsia="仿宋_GB2312"/>
                <w:sz w:val="24"/>
                <w:color w:val="000000"/>
              </w:rPr>
              <w:t>≤0.32kW；</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工作环境温度：</w:t>
            </w:r>
            <w:r>
              <w:rPr>
                <w:rFonts w:ascii="仿宋_GB2312" w:hAnsi="仿宋_GB2312" w:cs="仿宋_GB2312" w:eastAsia="仿宋_GB2312"/>
                <w:sz w:val="24"/>
                <w:color w:val="000000"/>
              </w:rPr>
              <w:t>10-30℃之间稳定（最佳性能温度20℃）；</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工作环境压力：</w:t>
            </w:r>
            <w:r>
              <w:rPr>
                <w:rFonts w:ascii="仿宋_GB2312" w:hAnsi="仿宋_GB2312" w:cs="仿宋_GB2312" w:eastAsia="仿宋_GB2312"/>
                <w:sz w:val="24"/>
                <w:color w:val="000000"/>
              </w:rPr>
              <w:t>0.9-1.1atm可自适应高海拔地区环境压力。</w:t>
            </w:r>
          </w:p>
          <w:p>
            <w:pPr>
              <w:pStyle w:val="null3"/>
              <w:ind w:firstLine="482"/>
              <w:jc w:val="both"/>
            </w:pPr>
            <w:r>
              <w:rPr>
                <w:rFonts w:ascii="仿宋_GB2312" w:hAnsi="仿宋_GB2312" w:cs="仿宋_GB2312" w:eastAsia="仿宋_GB2312"/>
                <w:sz w:val="24"/>
                <w:b/>
                <w:color w:val="000000"/>
              </w:rPr>
              <w:t>整机总体参数：</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检测有机物种类：国家《大气污染物综合排放标准》中的挥发性有机物：苯类、醛类、酮类、胺类、醇类、醚类、酚类、腈类、硫化物等；化学毒剂等；《国家恶臭污染排放标准》中全部</w:t>
            </w:r>
            <w:r>
              <w:rPr>
                <w:rFonts w:ascii="仿宋_GB2312" w:hAnsi="仿宋_GB2312" w:cs="仿宋_GB2312" w:eastAsia="仿宋_GB2312"/>
                <w:sz w:val="24"/>
                <w:color w:val="000000"/>
              </w:rPr>
              <w:t>8种恶臭气体，以及《上海恶臭(异味)污染物排放标准》中全部22种恶臭气体。</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检测方式：自动吸入式不间断采样测量，不需要样品预处理；</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rPr>
              <w:t>▲</w:t>
            </w:r>
            <w:r>
              <w:rPr>
                <w:rFonts w:ascii="仿宋_GB2312" w:hAnsi="仿宋_GB2312" w:cs="仿宋_GB2312" w:eastAsia="仿宋_GB2312"/>
                <w:sz w:val="24"/>
                <w:color w:val="000000"/>
              </w:rPr>
              <w:t>仪器检出限：</w:t>
            </w:r>
            <w:r>
              <w:rPr>
                <w:rFonts w:ascii="仿宋_GB2312" w:hAnsi="仿宋_GB2312" w:cs="仿宋_GB2312" w:eastAsia="仿宋_GB2312"/>
                <w:sz w:val="24"/>
                <w:color w:val="000000"/>
              </w:rPr>
              <w:t>≤100ppt</w:t>
            </w:r>
            <w:r>
              <w:rPr>
                <w:rFonts w:ascii="仿宋_GB2312" w:hAnsi="仿宋_GB2312" w:cs="仿宋_GB2312" w:eastAsia="仿宋_GB2312"/>
                <w:sz w:val="24"/>
                <w:b/>
              </w:rPr>
              <w:t>（提供计量检测单位出具的测试证书予以佐证）</w:t>
            </w:r>
          </w:p>
          <w:p>
            <w:pPr>
              <w:pStyle w:val="null3"/>
              <w:ind w:firstLine="480"/>
              <w:jc w:val="both"/>
            </w:pPr>
            <w:r>
              <w:rPr>
                <w:rFonts w:ascii="仿宋_GB2312" w:hAnsi="仿宋_GB2312" w:cs="仿宋_GB2312" w:eastAsia="仿宋_GB2312"/>
                <w:sz w:val="24"/>
                <w:b/>
                <w:color w:val="000000"/>
              </w:rPr>
              <w:t>4)</w:t>
            </w:r>
            <w:r>
              <w:rPr>
                <w:rFonts w:ascii="仿宋_GB2312" w:hAnsi="仿宋_GB2312" w:cs="仿宋_GB2312" w:eastAsia="仿宋_GB2312"/>
                <w:sz w:val="24"/>
              </w:rPr>
              <w:t>▲</w:t>
            </w:r>
            <w:r>
              <w:rPr>
                <w:rFonts w:ascii="仿宋_GB2312" w:hAnsi="仿宋_GB2312" w:cs="仿宋_GB2312" w:eastAsia="仿宋_GB2312"/>
                <w:sz w:val="24"/>
                <w:color w:val="000000"/>
              </w:rPr>
              <w:t>响应时间：</w:t>
            </w:r>
            <w:r>
              <w:rPr>
                <w:rFonts w:ascii="仿宋_GB2312" w:hAnsi="仿宋_GB2312" w:cs="仿宋_GB2312" w:eastAsia="仿宋_GB2312"/>
                <w:sz w:val="24"/>
                <w:color w:val="000000"/>
              </w:rPr>
              <w:t>≤1s；</w:t>
            </w:r>
            <w:r>
              <w:rPr>
                <w:rFonts w:ascii="仿宋_GB2312" w:hAnsi="仿宋_GB2312" w:cs="仿宋_GB2312" w:eastAsia="仿宋_GB2312"/>
                <w:sz w:val="24"/>
                <w:b/>
                <w:color w:val="000000"/>
              </w:rPr>
              <w:t>(</w:t>
            </w:r>
            <w:r>
              <w:rPr>
                <w:rFonts w:ascii="仿宋_GB2312" w:hAnsi="仿宋_GB2312" w:cs="仿宋_GB2312" w:eastAsia="仿宋_GB2312"/>
                <w:sz w:val="24"/>
                <w:b/>
              </w:rPr>
              <w:t>提供计量检测单位出具的测试证书予以佐证</w:t>
            </w:r>
            <w:r>
              <w:rPr>
                <w:rFonts w:ascii="仿宋_GB2312" w:hAnsi="仿宋_GB2312" w:cs="仿宋_GB2312" w:eastAsia="仿宋_GB2312"/>
                <w:sz w:val="24"/>
                <w:b/>
                <w:color w:val="000000"/>
              </w:rPr>
              <w:t>)</w:t>
            </w:r>
          </w:p>
          <w:p>
            <w:pPr>
              <w:pStyle w:val="null3"/>
              <w:ind w:firstLine="482"/>
              <w:jc w:val="both"/>
            </w:pPr>
            <w:r>
              <w:rPr>
                <w:rFonts w:ascii="仿宋_GB2312" w:hAnsi="仿宋_GB2312" w:cs="仿宋_GB2312" w:eastAsia="仿宋_GB2312"/>
                <w:sz w:val="24"/>
                <w:b/>
                <w:color w:val="000000"/>
              </w:rPr>
              <w:t>进样管路：</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可直接采样，不需要对样品预处理；</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rPr>
              <w:t>▲</w:t>
            </w:r>
            <w:r>
              <w:rPr>
                <w:rFonts w:ascii="仿宋_GB2312" w:hAnsi="仿宋_GB2312" w:cs="仿宋_GB2312" w:eastAsia="仿宋_GB2312"/>
                <w:sz w:val="24"/>
                <w:color w:val="000000"/>
              </w:rPr>
              <w:t>进样管路温度：可调控，设置范围：</w:t>
            </w:r>
            <w:r>
              <w:rPr>
                <w:rFonts w:ascii="仿宋_GB2312" w:hAnsi="仿宋_GB2312" w:cs="仿宋_GB2312" w:eastAsia="仿宋_GB2312"/>
                <w:sz w:val="24"/>
                <w:color w:val="000000"/>
              </w:rPr>
              <w:t>30~120℃</w:t>
            </w:r>
            <w:r>
              <w:rPr>
                <w:rFonts w:ascii="仿宋_GB2312" w:hAnsi="仿宋_GB2312" w:cs="仿宋_GB2312" w:eastAsia="仿宋_GB2312"/>
                <w:sz w:val="24"/>
                <w:b/>
                <w:color w:val="000000"/>
              </w:rPr>
              <w:t>(提供计量检测单位出具的测试证书予以佐证)；</w:t>
            </w:r>
          </w:p>
          <w:p>
            <w:pPr>
              <w:pStyle w:val="null3"/>
              <w:ind w:firstLine="480"/>
              <w:jc w:val="both"/>
            </w:pPr>
            <w:r>
              <w:rPr>
                <w:rFonts w:ascii="仿宋_GB2312" w:hAnsi="仿宋_GB2312" w:cs="仿宋_GB2312" w:eastAsia="仿宋_GB2312"/>
                <w:sz w:val="24"/>
                <w:b/>
                <w:color w:val="000000"/>
              </w:rPr>
              <w:t>3)</w:t>
            </w:r>
            <w:r>
              <w:rPr>
                <w:rFonts w:ascii="仿宋_GB2312" w:hAnsi="仿宋_GB2312" w:cs="仿宋_GB2312" w:eastAsia="仿宋_GB2312"/>
                <w:sz w:val="24"/>
              </w:rPr>
              <w:t>▲</w:t>
            </w:r>
            <w:r>
              <w:rPr>
                <w:rFonts w:ascii="仿宋_GB2312" w:hAnsi="仿宋_GB2312" w:cs="仿宋_GB2312" w:eastAsia="仿宋_GB2312"/>
                <w:sz w:val="24"/>
                <w:color w:val="000000"/>
              </w:rPr>
              <w:t>进气流速</w:t>
            </w:r>
            <w:r>
              <w:rPr>
                <w:rFonts w:ascii="仿宋_GB2312" w:hAnsi="仿宋_GB2312" w:cs="仿宋_GB2312" w:eastAsia="仿宋_GB2312"/>
                <w:sz w:val="24"/>
                <w:color w:val="000000"/>
              </w:rPr>
              <w:t xml:space="preserve">≤0.3 L/min; </w:t>
            </w:r>
            <w:r>
              <w:rPr>
                <w:rFonts w:ascii="仿宋_GB2312" w:hAnsi="仿宋_GB2312" w:cs="仿宋_GB2312" w:eastAsia="仿宋_GB2312"/>
                <w:sz w:val="24"/>
                <w:b/>
                <w:color w:val="000000"/>
              </w:rPr>
              <w:t>(提供计量检测单位出具的测试证书予以佐证)；</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通过进样管路恒压控制设计，适应不同海拔高度不同大气压力条件下直接采样测量的工作需要；</w:t>
            </w:r>
          </w:p>
          <w:p>
            <w:pPr>
              <w:pStyle w:val="null3"/>
              <w:ind w:firstLine="480"/>
              <w:jc w:val="both"/>
            </w:pPr>
            <w:r>
              <w:rPr>
                <w:rFonts w:ascii="仿宋_GB2312" w:hAnsi="仿宋_GB2312" w:cs="仿宋_GB2312" w:eastAsia="仿宋_GB2312"/>
                <w:sz w:val="24"/>
                <w:b/>
                <w:color w:val="000000"/>
              </w:rPr>
              <w:t>5)</w:t>
            </w:r>
            <w:r>
              <w:rPr>
                <w:rFonts w:ascii="仿宋_GB2312" w:hAnsi="仿宋_GB2312" w:cs="仿宋_GB2312" w:eastAsia="仿宋_GB2312"/>
                <w:sz w:val="24"/>
              </w:rPr>
              <w:t>▲</w:t>
            </w:r>
            <w:r>
              <w:rPr>
                <w:rFonts w:ascii="仿宋_GB2312" w:hAnsi="仿宋_GB2312" w:cs="仿宋_GB2312" w:eastAsia="仿宋_GB2312"/>
                <w:sz w:val="24"/>
                <w:color w:val="000000"/>
              </w:rPr>
              <w:t>内置铂丝催化器，获取仪器背景信号；</w:t>
            </w:r>
            <w:r>
              <w:rPr>
                <w:rFonts w:ascii="仿宋_GB2312" w:hAnsi="仿宋_GB2312" w:cs="仿宋_GB2312" w:eastAsia="仿宋_GB2312"/>
                <w:sz w:val="24"/>
                <w:b/>
                <w:color w:val="000000"/>
              </w:rPr>
              <w:t>(提供计量检测单位出具的测试证书予以佐证)；</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管路恒温伴热设计，减少吸附，降低背景信号，提高响应速度。</w:t>
            </w:r>
          </w:p>
          <w:p>
            <w:pPr>
              <w:pStyle w:val="null3"/>
              <w:ind w:firstLine="482"/>
              <w:jc w:val="both"/>
            </w:pPr>
            <w:r>
              <w:rPr>
                <w:rFonts w:ascii="仿宋_GB2312" w:hAnsi="仿宋_GB2312" w:cs="仿宋_GB2312" w:eastAsia="仿宋_GB2312"/>
                <w:sz w:val="24"/>
                <w:b/>
                <w:color w:val="000000"/>
              </w:rPr>
              <w:t>离子源：</w:t>
            </w:r>
          </w:p>
          <w:p>
            <w:pPr>
              <w:pStyle w:val="null3"/>
              <w:ind w:firstLine="480"/>
              <w:jc w:val="both"/>
            </w:pPr>
            <w:r>
              <w:rPr>
                <w:rFonts w:ascii="仿宋_GB2312" w:hAnsi="仿宋_GB2312" w:cs="仿宋_GB2312" w:eastAsia="仿宋_GB2312"/>
                <w:sz w:val="24"/>
                <w:b/>
                <w:color w:val="000000"/>
              </w:rPr>
              <w:t>1)</w:t>
            </w:r>
            <w:r>
              <w:rPr>
                <w:rFonts w:ascii="仿宋_GB2312" w:hAnsi="仿宋_GB2312" w:cs="仿宋_GB2312" w:eastAsia="仿宋_GB2312"/>
                <w:sz w:val="24"/>
              </w:rPr>
              <w:t>▲</w:t>
            </w:r>
            <w:r>
              <w:rPr>
                <w:rFonts w:ascii="仿宋_GB2312" w:hAnsi="仿宋_GB2312" w:cs="仿宋_GB2312" w:eastAsia="仿宋_GB2312"/>
                <w:sz w:val="24"/>
                <w:color w:val="000000"/>
              </w:rPr>
              <w:t>双离子源（标配</w:t>
            </w:r>
            <w:r>
              <w:rPr>
                <w:rFonts w:ascii="仿宋_GB2312" w:hAnsi="仿宋_GB2312" w:cs="仿宋_GB2312" w:eastAsia="仿宋_GB2312"/>
                <w:sz w:val="24"/>
                <w:color w:val="000000"/>
              </w:rPr>
              <w:t>H</w:t>
            </w:r>
            <w:r>
              <w:rPr>
                <w:rFonts w:ascii="仿宋_GB2312" w:hAnsi="仿宋_GB2312" w:cs="仿宋_GB2312" w:eastAsia="仿宋_GB2312"/>
                <w:sz w:val="24"/>
                <w:color w:val="000000"/>
                <w:vertAlign w:val="subscript"/>
              </w:rPr>
              <w:t>3</w:t>
            </w:r>
            <w:r>
              <w:rPr>
                <w:rFonts w:ascii="仿宋_GB2312" w:hAnsi="仿宋_GB2312" w:cs="仿宋_GB2312" w:eastAsia="仿宋_GB2312"/>
                <w:sz w:val="24"/>
                <w:color w:val="000000"/>
              </w:rPr>
              <w:t>O</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和赠送的备用</w:t>
            </w:r>
            <w:r>
              <w:rPr>
                <w:rFonts w:ascii="仿宋_GB2312" w:hAnsi="仿宋_GB2312" w:cs="仿宋_GB2312" w:eastAsia="仿宋_GB2312"/>
                <w:sz w:val="24"/>
                <w:color w:val="000000"/>
              </w:rPr>
              <w:t>EI源）；</w:t>
            </w:r>
            <w:r>
              <w:rPr>
                <w:rFonts w:ascii="仿宋_GB2312" w:hAnsi="仿宋_GB2312" w:cs="仿宋_GB2312" w:eastAsia="仿宋_GB2312"/>
                <w:sz w:val="24"/>
                <w:b/>
                <w:color w:val="000000"/>
              </w:rPr>
              <w:t>(提供计量检测单位出具的测试证书予以佐证)</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反应离子稳定性：连续运行</w:t>
            </w:r>
            <w:r>
              <w:rPr>
                <w:rFonts w:ascii="仿宋_GB2312" w:hAnsi="仿宋_GB2312" w:cs="仿宋_GB2312" w:eastAsia="仿宋_GB2312"/>
                <w:sz w:val="24"/>
                <w:color w:val="000000"/>
              </w:rPr>
              <w:t>1个月反应离子信号波动≤3%；</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长寿命离子源：正常使用一年无需维护清洗；</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稳定的放电电源，放电电压</w:t>
            </w:r>
            <w:r>
              <w:rPr>
                <w:rFonts w:ascii="仿宋_GB2312" w:hAnsi="仿宋_GB2312" w:cs="仿宋_GB2312" w:eastAsia="仿宋_GB2312"/>
                <w:sz w:val="24"/>
                <w:color w:val="000000"/>
              </w:rPr>
              <w:t>400~800V；</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可视化大水箱：水箱可使用</w:t>
            </w:r>
            <w:r>
              <w:rPr>
                <w:rFonts w:ascii="仿宋_GB2312" w:hAnsi="仿宋_GB2312" w:cs="仿宋_GB2312" w:eastAsia="仿宋_GB2312"/>
                <w:sz w:val="24"/>
                <w:color w:val="000000"/>
              </w:rPr>
              <w:t>1年以上，可视化设计容易查看箱内水量。</w:t>
            </w:r>
          </w:p>
          <w:p>
            <w:pPr>
              <w:pStyle w:val="null3"/>
              <w:ind w:firstLine="482"/>
              <w:jc w:val="both"/>
            </w:pPr>
            <w:r>
              <w:rPr>
                <w:rFonts w:ascii="仿宋_GB2312" w:hAnsi="仿宋_GB2312" w:cs="仿宋_GB2312" w:eastAsia="仿宋_GB2312"/>
                <w:sz w:val="24"/>
                <w:b/>
                <w:color w:val="000000"/>
              </w:rPr>
              <w:t>离子</w:t>
            </w:r>
            <w:r>
              <w:rPr>
                <w:rFonts w:ascii="仿宋_GB2312" w:hAnsi="仿宋_GB2312" w:cs="仿宋_GB2312" w:eastAsia="仿宋_GB2312"/>
                <w:sz w:val="24"/>
                <w:b/>
                <w:color w:val="000000"/>
              </w:rPr>
              <w:t>-分子反应管：</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PTFE垫片和恒温伴热设计，减少吸附，降低背景信号，提高响应速度；</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稳定的反应管电源，精确控制离子</w:t>
            </w:r>
            <w:r>
              <w:rPr>
                <w:rFonts w:ascii="仿宋_GB2312" w:hAnsi="仿宋_GB2312" w:cs="仿宋_GB2312" w:eastAsia="仿宋_GB2312"/>
                <w:sz w:val="24"/>
                <w:color w:val="000000"/>
              </w:rPr>
              <w:t>-分子反应，采用质子转移反应的软电离方式，不对被测物产生破坏效应，利于判定物种信息。</w:t>
            </w:r>
          </w:p>
          <w:p>
            <w:pPr>
              <w:pStyle w:val="null3"/>
              <w:ind w:firstLine="482"/>
              <w:jc w:val="both"/>
            </w:pPr>
            <w:r>
              <w:rPr>
                <w:rFonts w:ascii="仿宋_GB2312" w:hAnsi="仿宋_GB2312" w:cs="仿宋_GB2312" w:eastAsia="仿宋_GB2312"/>
                <w:sz w:val="24"/>
                <w:b/>
                <w:color w:val="000000"/>
              </w:rPr>
              <w:t>过渡腔：</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通过差分过渡腔设计和高性能涡轮分子泵的使用，提高质谱腔工作的真空度；</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离子透镜高效引导，减少离子传输损失。</w:t>
            </w:r>
          </w:p>
          <w:p>
            <w:pPr>
              <w:pStyle w:val="null3"/>
              <w:ind w:firstLine="482"/>
              <w:jc w:val="both"/>
            </w:pPr>
            <w:r>
              <w:rPr>
                <w:rFonts w:ascii="仿宋_GB2312" w:hAnsi="仿宋_GB2312" w:cs="仿宋_GB2312" w:eastAsia="仿宋_GB2312"/>
                <w:sz w:val="24"/>
                <w:b/>
                <w:color w:val="000000"/>
              </w:rPr>
              <w:t>质谱及真空腔：</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通过差分过渡腔和质谱腔的一体化设计，采用欧美进口高性能涡轮分子泵，保持质谱腔工作真空在</w:t>
            </w:r>
            <w:r>
              <w:rPr>
                <w:rFonts w:ascii="仿宋_GB2312" w:hAnsi="仿宋_GB2312" w:cs="仿宋_GB2312" w:eastAsia="仿宋_GB2312"/>
                <w:sz w:val="24"/>
                <w:color w:val="000000"/>
              </w:rPr>
              <w:t>4x10</w:t>
            </w:r>
            <w:r>
              <w:rPr>
                <w:rFonts w:ascii="仿宋_GB2312" w:hAnsi="仿宋_GB2312" w:cs="仿宋_GB2312" w:eastAsia="仿宋_GB2312"/>
                <w:sz w:val="24"/>
                <w:color w:val="000000"/>
                <w:vertAlign w:val="superscript"/>
              </w:rPr>
              <w:t>-6</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mbar以下，提高质谱工作的稳定性和寿命；</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四极杆质谱用作离子检测，可长期稳定可靠地监测，提高长周期数据的质量；</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为了保证长期稳定性，采用三级四极杆（含前置过滤杆（</w:t>
            </w:r>
            <w:r>
              <w:rPr>
                <w:rFonts w:ascii="仿宋_GB2312" w:hAnsi="仿宋_GB2312" w:cs="仿宋_GB2312" w:eastAsia="仿宋_GB2312"/>
                <w:sz w:val="24"/>
                <w:color w:val="000000"/>
              </w:rPr>
              <w:t>pre-filter）、质量过滤主杆（primary mass filter）、后置过滤杆（post-filter），相比单级“四极杆”，避免主杆污染、增强长期稳定性；</w:t>
            </w:r>
          </w:p>
          <w:p>
            <w:pPr>
              <w:pStyle w:val="null3"/>
              <w:ind w:firstLine="480"/>
              <w:jc w:val="both"/>
            </w:pPr>
            <w:r>
              <w:rPr>
                <w:rFonts w:ascii="仿宋_GB2312" w:hAnsi="仿宋_GB2312" w:cs="仿宋_GB2312" w:eastAsia="仿宋_GB2312"/>
                <w:sz w:val="24"/>
                <w:b/>
                <w:color w:val="000000"/>
              </w:rPr>
              <w:t>4)</w:t>
            </w:r>
            <w:r>
              <w:rPr>
                <w:rFonts w:ascii="仿宋_GB2312" w:hAnsi="仿宋_GB2312" w:cs="仿宋_GB2312" w:eastAsia="仿宋_GB2312"/>
                <w:sz w:val="24"/>
              </w:rPr>
              <w:t>▲</w:t>
            </w:r>
            <w:r>
              <w:rPr>
                <w:rFonts w:ascii="仿宋_GB2312" w:hAnsi="仿宋_GB2312" w:cs="仿宋_GB2312" w:eastAsia="仿宋_GB2312"/>
                <w:sz w:val="24"/>
                <w:color w:val="000000"/>
              </w:rPr>
              <w:t>质量范围：</w:t>
            </w:r>
            <w:r>
              <w:rPr>
                <w:rFonts w:ascii="仿宋_GB2312" w:hAnsi="仿宋_GB2312" w:cs="仿宋_GB2312" w:eastAsia="仿宋_GB2312"/>
                <w:sz w:val="24"/>
                <w:color w:val="000000"/>
              </w:rPr>
              <w:t>0.4-510amu；</w:t>
            </w:r>
            <w:r>
              <w:rPr>
                <w:rFonts w:ascii="仿宋_GB2312" w:hAnsi="仿宋_GB2312" w:cs="仿宋_GB2312" w:eastAsia="仿宋_GB2312"/>
                <w:sz w:val="24"/>
                <w:b/>
                <w:color w:val="000000"/>
              </w:rPr>
              <w:t>(提供计量检测单位出具的测试证书予以佐证)</w:t>
            </w:r>
          </w:p>
          <w:p>
            <w:pPr>
              <w:pStyle w:val="null3"/>
              <w:ind w:firstLine="480"/>
              <w:jc w:val="both"/>
            </w:pPr>
            <w:r>
              <w:rPr>
                <w:rFonts w:ascii="仿宋_GB2312" w:hAnsi="仿宋_GB2312" w:cs="仿宋_GB2312" w:eastAsia="仿宋_GB2312"/>
                <w:sz w:val="24"/>
                <w:b/>
                <w:color w:val="000000"/>
              </w:rPr>
              <w:t>5)</w:t>
            </w:r>
            <w:r>
              <w:rPr>
                <w:rFonts w:ascii="仿宋_GB2312" w:hAnsi="仿宋_GB2312" w:cs="仿宋_GB2312" w:eastAsia="仿宋_GB2312"/>
                <w:sz w:val="24"/>
              </w:rPr>
              <w:t>▲</w:t>
            </w:r>
            <w:r>
              <w:rPr>
                <w:rFonts w:ascii="仿宋_GB2312" w:hAnsi="仿宋_GB2312" w:cs="仿宋_GB2312" w:eastAsia="仿宋_GB2312"/>
                <w:sz w:val="24"/>
                <w:color w:val="000000"/>
              </w:rPr>
              <w:t>质谱检测器分辨率：</w:t>
            </w:r>
            <w:r>
              <w:rPr>
                <w:rFonts w:ascii="仿宋_GB2312" w:hAnsi="仿宋_GB2312" w:cs="仿宋_GB2312" w:eastAsia="仿宋_GB2312"/>
                <w:sz w:val="24"/>
                <w:color w:val="000000"/>
              </w:rPr>
              <w:t>≤0.6amu；</w:t>
            </w:r>
            <w:r>
              <w:rPr>
                <w:rFonts w:ascii="仿宋_GB2312" w:hAnsi="仿宋_GB2312" w:cs="仿宋_GB2312" w:eastAsia="仿宋_GB2312"/>
                <w:sz w:val="24"/>
                <w:b/>
                <w:color w:val="000000"/>
              </w:rPr>
              <w:t>(提供计量检测单位出具的测试证书予以佐证)</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整机设置了质谱自动保护功能，当质谱腔气压高于</w:t>
            </w:r>
            <w:r>
              <w:rPr>
                <w:rFonts w:ascii="仿宋_GB2312" w:hAnsi="仿宋_GB2312" w:cs="仿宋_GB2312" w:eastAsia="仿宋_GB2312"/>
                <w:sz w:val="24"/>
                <w:color w:val="000000"/>
              </w:rPr>
              <w:t>5x10</w:t>
            </w:r>
            <w:r>
              <w:rPr>
                <w:rFonts w:ascii="仿宋_GB2312" w:hAnsi="仿宋_GB2312" w:cs="仿宋_GB2312" w:eastAsia="仿宋_GB2312"/>
                <w:sz w:val="24"/>
                <w:color w:val="000000"/>
                <w:vertAlign w:val="superscript"/>
              </w:rPr>
              <w:t>-6</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mbar气压(可根据实际需要设定该值)，软件可触发质谱自动保护功能，自动将高压置零；</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可根据客户需要对进口质谱自带的底层软件进行个性化配置和设计，实现中文界面显示、浓度实时显示以及在线预警分析等。</w:t>
            </w:r>
          </w:p>
          <w:p>
            <w:pPr>
              <w:pStyle w:val="null3"/>
              <w:ind w:firstLine="482"/>
              <w:jc w:val="both"/>
            </w:pPr>
            <w:r>
              <w:rPr>
                <w:rFonts w:ascii="仿宋_GB2312" w:hAnsi="仿宋_GB2312" w:cs="仿宋_GB2312" w:eastAsia="仿宋_GB2312"/>
                <w:sz w:val="24"/>
                <w:b/>
                <w:color w:val="000000"/>
              </w:rPr>
              <w:t>真空系统配置保护装置：</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当质谱腔气压高于</w:t>
            </w:r>
            <w:r>
              <w:rPr>
                <w:rFonts w:ascii="仿宋_GB2312" w:hAnsi="仿宋_GB2312" w:cs="仿宋_GB2312" w:eastAsia="仿宋_GB2312"/>
                <w:sz w:val="24"/>
                <w:color w:val="000000"/>
              </w:rPr>
              <w:t>1x10</w:t>
            </w:r>
            <w:r>
              <w:rPr>
                <w:rFonts w:ascii="仿宋_GB2312" w:hAnsi="仿宋_GB2312" w:cs="仿宋_GB2312" w:eastAsia="仿宋_GB2312"/>
                <w:sz w:val="24"/>
                <w:color w:val="000000"/>
                <w:vertAlign w:val="superscript"/>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mbar，真空泵系统的高压电自动断电，避免真空系统损坏；</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配置不间断供电电源</w:t>
            </w:r>
            <w:r>
              <w:rPr>
                <w:rFonts w:ascii="仿宋_GB2312" w:hAnsi="仿宋_GB2312" w:cs="仿宋_GB2312" w:eastAsia="仿宋_GB2312"/>
                <w:sz w:val="24"/>
                <w:color w:val="000000"/>
              </w:rPr>
              <w:t>UPS，即使在意外停电情况下，不间断电源可延时供电，继续维持系统真空度，避免非正常断电给真空系统、质谱等造成意外损伤。</w:t>
            </w:r>
          </w:p>
          <w:p>
            <w:pPr>
              <w:pStyle w:val="null3"/>
              <w:ind w:firstLine="482"/>
              <w:jc w:val="both"/>
            </w:pPr>
            <w:r>
              <w:rPr>
                <w:rFonts w:ascii="仿宋_GB2312" w:hAnsi="仿宋_GB2312" w:cs="仿宋_GB2312" w:eastAsia="仿宋_GB2312"/>
                <w:sz w:val="24"/>
                <w:b/>
                <w:color w:val="000000"/>
              </w:rPr>
              <w:t>整机监控系统：</w:t>
            </w:r>
          </w:p>
          <w:p>
            <w:pPr>
              <w:pStyle w:val="null3"/>
              <w:ind w:firstLine="480"/>
              <w:jc w:val="both"/>
            </w:pPr>
            <w:r>
              <w:rPr>
                <w:rFonts w:ascii="仿宋_GB2312" w:hAnsi="仿宋_GB2312" w:cs="仿宋_GB2312" w:eastAsia="仿宋_GB2312"/>
                <w:sz w:val="24"/>
                <w:color w:val="000000"/>
              </w:rPr>
              <w:t>监控系统包括监控软件、工控电脑和监控电路板。</w:t>
            </w:r>
          </w:p>
          <w:p>
            <w:pPr>
              <w:pStyle w:val="null3"/>
              <w:ind w:firstLine="480"/>
              <w:jc w:val="both"/>
            </w:pPr>
            <w:r>
              <w:rPr>
                <w:rFonts w:ascii="仿宋_GB2312" w:hAnsi="仿宋_GB2312" w:cs="仿宋_GB2312" w:eastAsia="仿宋_GB2312"/>
                <w:sz w:val="24"/>
                <w:color w:val="000000"/>
              </w:rPr>
              <w:t>完善人性化的中文监控软件，可方便地对系统的气压、电压、流量、温度等模式进行监测和一键控制，可方便地启动仪器、选择工作模式和关机。内置的气压监测和实时判别可自动实现质谱和真空系统的自保护。可在有机物检测模式和仪器背景模式间一键切换，容易获得仪器背景信号，便于数据处理；</w:t>
            </w:r>
          </w:p>
          <w:p>
            <w:pPr>
              <w:pStyle w:val="null3"/>
              <w:ind w:firstLine="482"/>
              <w:jc w:val="both"/>
            </w:pPr>
            <w:r>
              <w:rPr>
                <w:rFonts w:ascii="仿宋_GB2312" w:hAnsi="仿宋_GB2312" w:cs="仿宋_GB2312" w:eastAsia="仿宋_GB2312"/>
                <w:sz w:val="24"/>
                <w:b/>
                <w:color w:val="000000"/>
              </w:rPr>
              <w:t>车载</w:t>
            </w:r>
            <w:r>
              <w:rPr>
                <w:rFonts w:ascii="仿宋_GB2312" w:hAnsi="仿宋_GB2312" w:cs="仿宋_GB2312" w:eastAsia="仿宋_GB2312"/>
                <w:sz w:val="24"/>
                <w:b/>
                <w:color w:val="000000"/>
              </w:rPr>
              <w:t>VOCs数据采集系统：</w:t>
            </w:r>
          </w:p>
          <w:p>
            <w:pPr>
              <w:pStyle w:val="null3"/>
              <w:ind w:firstLine="480"/>
              <w:jc w:val="both"/>
            </w:pPr>
            <w:r>
              <w:rPr>
                <w:rFonts w:ascii="仿宋_GB2312" w:hAnsi="仿宋_GB2312" w:cs="仿宋_GB2312" w:eastAsia="仿宋_GB2312"/>
                <w:sz w:val="24"/>
                <w:color w:val="000000"/>
              </w:rPr>
              <w:t>配套软件可正确监测控制温度、气压、电压、电磁阀状态、流量等参数；配套软件可测量质谱图、监测特征成分、获取浓度。以及超标报警、源解析功能、数据回看功能、浓度校准功能；走航软件具有走航地图展示功能。</w:t>
            </w:r>
            <w:r>
              <w:rPr>
                <w:rFonts w:ascii="仿宋_GB2312" w:hAnsi="仿宋_GB2312" w:cs="仿宋_GB2312" w:eastAsia="仿宋_GB2312"/>
                <w:sz w:val="24"/>
                <w:color w:val="000000"/>
              </w:rPr>
              <w:t>(提供省级及以上计量检测单位出具的测试证书予以佐证，测试证书出具时间应在招标公告发布前)</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走航观测地图展示功能：可将质谱监测数据及</w:t>
            </w:r>
            <w:r>
              <w:rPr>
                <w:rFonts w:ascii="仿宋_GB2312" w:hAnsi="仿宋_GB2312" w:cs="仿宋_GB2312" w:eastAsia="仿宋_GB2312"/>
                <w:sz w:val="24"/>
                <w:color w:val="000000"/>
              </w:rPr>
              <w:t>GPS参数发送至客户通讯端口，供客户在自有的软件展示平台上进行个性化展示，也可在仪器工控机上利用地图软件，进行走航数据可在地图上实时展示；</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污染源解析功能：可根据用户需要自建污染源（企业）数据库，当发生环境应急事件或污染投诉事件时，利用质谱监测数据与数据库比对，通过源解析算法，可实时识别排放源；</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浓度校准功能：软件提供浓度校准功能，可利用标气对质谱进行快速自动校准；</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数据回看功能：质谱软件可查看历史监测数据，并结合地图显示出走航轨迹以及挥发性有机物的监测数据。软件支持查看走航路线中的每一个采样点的监测数据。</w:t>
            </w:r>
          </w:p>
          <w:p>
            <w:pPr>
              <w:pStyle w:val="null3"/>
              <w:jc w:val="both"/>
            </w:pPr>
            <w:r>
              <w:rPr>
                <w:rFonts w:ascii="仿宋_GB2312" w:hAnsi="仿宋_GB2312" w:cs="仿宋_GB2312" w:eastAsia="仿宋_GB2312"/>
                <w:sz w:val="24"/>
              </w:rPr>
              <w:t>（三）视频监控</w:t>
            </w:r>
          </w:p>
          <w:p>
            <w:pPr>
              <w:pStyle w:val="null3"/>
              <w:ind w:firstLine="480"/>
              <w:jc w:val="both"/>
            </w:pPr>
            <w:r>
              <w:rPr>
                <w:rFonts w:ascii="仿宋_GB2312" w:hAnsi="仿宋_GB2312" w:cs="仿宋_GB2312" w:eastAsia="仿宋_GB2312"/>
                <w:sz w:val="24"/>
              </w:rPr>
              <w:t>供应商需提供车载视频监控设备，满足走航过程中污染抓拍功能与智能录像等功能，做到污染取证。</w:t>
            </w:r>
          </w:p>
          <w:p>
            <w:pPr>
              <w:pStyle w:val="null3"/>
              <w:jc w:val="both"/>
            </w:pPr>
            <w:r>
              <w:rPr>
                <w:rFonts w:ascii="仿宋_GB2312" w:hAnsi="仿宋_GB2312" w:cs="仿宋_GB2312" w:eastAsia="仿宋_GB2312"/>
                <w:sz w:val="24"/>
              </w:rPr>
              <w:t>（四）运维及数据分析服务报告</w:t>
            </w:r>
          </w:p>
          <w:p>
            <w:pPr>
              <w:pStyle w:val="null3"/>
              <w:ind w:firstLine="480"/>
              <w:jc w:val="both"/>
            </w:pPr>
            <w:r>
              <w:rPr>
                <w:rFonts w:ascii="仿宋_GB2312" w:hAnsi="仿宋_GB2312" w:cs="仿宋_GB2312" w:eastAsia="仿宋_GB2312"/>
                <w:sz w:val="24"/>
              </w:rPr>
              <w:t>投标人须提供服务期间的运维服务，保证设备与车辆正常运行服务。</w:t>
            </w:r>
          </w:p>
          <w:p>
            <w:pPr>
              <w:pStyle w:val="null3"/>
              <w:ind w:firstLine="480"/>
              <w:jc w:val="both"/>
            </w:pPr>
            <w:r>
              <w:rPr>
                <w:rFonts w:ascii="仿宋_GB2312" w:hAnsi="仿宋_GB2312" w:cs="仿宋_GB2312" w:eastAsia="仿宋_GB2312"/>
                <w:sz w:val="24"/>
              </w:rPr>
              <w:t>服务期间涉及到运维团队人员的待遇、安全、保障、法律纠纷等事宜由中标人自行负责；服务期满后，涉及到团队人员的人事劳动关系、解聘赔偿等事宜由中标人全权负责。</w:t>
            </w:r>
          </w:p>
          <w:p>
            <w:pPr>
              <w:pStyle w:val="null3"/>
              <w:jc w:val="both"/>
            </w:pPr>
            <w:r>
              <w:rPr>
                <w:rFonts w:ascii="仿宋_GB2312" w:hAnsi="仿宋_GB2312" w:cs="仿宋_GB2312" w:eastAsia="仿宋_GB2312"/>
                <w:sz w:val="24"/>
              </w:rPr>
              <w:t>（五）运维服务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1）安排专业技术服务人员专职负责车载走航系统</w:t>
            </w:r>
          </w:p>
          <w:p>
            <w:pPr>
              <w:pStyle w:val="null3"/>
              <w:ind w:firstLine="480"/>
              <w:jc w:val="both"/>
            </w:pPr>
            <w:r>
              <w:rPr>
                <w:rFonts w:ascii="仿宋_GB2312" w:hAnsi="仿宋_GB2312" w:cs="仿宋_GB2312" w:eastAsia="仿宋_GB2312"/>
                <w:sz w:val="24"/>
              </w:rPr>
              <w:t>须对车载走航系统建立专人负责制，主要负责仪器的日常维护与运行日志记录等，保证走航观测系统的正常运行，在设备发生严重故障时及时赶赴现场进行维修。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2）车载走航系统的操作规程</w:t>
            </w:r>
          </w:p>
          <w:p>
            <w:pPr>
              <w:pStyle w:val="null3"/>
              <w:ind w:firstLine="480"/>
              <w:jc w:val="both"/>
            </w:pPr>
            <w:r>
              <w:rPr>
                <w:rFonts w:ascii="仿宋_GB2312" w:hAnsi="仿宋_GB2312" w:cs="仿宋_GB2312" w:eastAsia="仿宋_GB2312"/>
                <w:sz w:val="24"/>
              </w:rPr>
              <w:t>须提供车载走航系统操作使用手册，派专人对操作规程进行讲解说明，现场指导甲方人员进行仪器操作与讲解注意事项等。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3）车载走航系统的日常保养</w:t>
            </w:r>
          </w:p>
          <w:p>
            <w:pPr>
              <w:pStyle w:val="null3"/>
              <w:ind w:firstLine="480"/>
              <w:jc w:val="both"/>
            </w:pPr>
            <w:r>
              <w:rPr>
                <w:rFonts w:ascii="仿宋_GB2312" w:hAnsi="仿宋_GB2312" w:cs="仿宋_GB2312" w:eastAsia="仿宋_GB2312"/>
                <w:sz w:val="24"/>
              </w:rPr>
              <w:t>须提供车载检测设备的日常维护手册，建立车载走航系统日常保养制度，定期远程查看仪器的运行状况，及时汇报重大事故或仪器严重故障的情况。定期巡检与日常维护内容主要包括仪器校准、北斗导航天线检查、</w:t>
            </w:r>
            <w:r>
              <w:rPr>
                <w:rFonts w:ascii="仿宋_GB2312" w:hAnsi="仿宋_GB2312" w:cs="仿宋_GB2312" w:eastAsia="仿宋_GB2312"/>
                <w:sz w:val="24"/>
              </w:rPr>
              <w:t>UPS电源电量检查、车内运行温度检查、停车地点选择与人员防护注意事项等。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4）车载走航系统的运行日志</w:t>
            </w:r>
          </w:p>
          <w:p>
            <w:pPr>
              <w:pStyle w:val="null3"/>
              <w:ind w:firstLine="480"/>
              <w:jc w:val="both"/>
            </w:pPr>
            <w:r>
              <w:rPr>
                <w:rFonts w:ascii="仿宋_GB2312" w:hAnsi="仿宋_GB2312" w:cs="仿宋_GB2312" w:eastAsia="仿宋_GB2312"/>
                <w:sz w:val="24"/>
              </w:rPr>
              <w:t>须建立车载走航系统使用与维护保养记录，检查记录系统各部件的运行情况，发生故障提供分析报告。运行日志的内容包括主辅机的运行状态、工作环境、异常情况、缺陷情况、保领导指示、记录时间、记录人和负责人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5）车载走航系统的设备台账</w:t>
            </w:r>
          </w:p>
          <w:p>
            <w:pPr>
              <w:pStyle w:val="null3"/>
              <w:ind w:firstLine="480"/>
              <w:jc w:val="both"/>
            </w:pPr>
            <w:r>
              <w:rPr>
                <w:rFonts w:ascii="仿宋_GB2312" w:hAnsi="仿宋_GB2312" w:cs="仿宋_GB2312" w:eastAsia="仿宋_GB2312"/>
                <w:sz w:val="24"/>
              </w:rPr>
              <w:t>须建立设备台账、设备检修台账、设备备品备件台账、设备运行台账、物资管理台账、燃料管理台账，台账资料填写详细准确，并接受采购方管理部门的台账检查。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6）售后支持方式应包括电话支持、电子邮件支持、文档提供、现场支持等多种以解决实际问题为目的的方式；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7）提供7X24小时故障受理服务。在接到申告电话后，保证在30分钟内对采购人所提出的维修要求做出实质性反应，及时解决系统运行中的问题，保证在24个小时内予以解决。</w:t>
            </w:r>
          </w:p>
          <w:p>
            <w:pPr>
              <w:pStyle w:val="null3"/>
              <w:jc w:val="both"/>
            </w:pPr>
            <w:r>
              <w:rPr>
                <w:rFonts w:ascii="仿宋_GB2312" w:hAnsi="仿宋_GB2312" w:cs="仿宋_GB2312" w:eastAsia="仿宋_GB2312"/>
                <w:sz w:val="24"/>
              </w:rPr>
              <w:t>（六）数据分析服务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1）投标人每次须制定走航工作安排计划报采购人进行审核，确认后根据工作安排开展走航监测及数据分析服务工作。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2）针对城市内走航监测提供数据分析报告，提出针对性的建议及意见；同时现场运维人员协助排查污染源。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3）基于走航监测展开数据分析服务，对污染高值区域进行详细统计，并对污染成因进行分析，提供专业治理意见。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4）运维成果包括：投标人须对每次走航监测出具数据分析报告，报告内容至少须包含：走航图谱、污染物分布及扩散趋势预判、污染源头确定和有效性治理建议等。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5）服务期间的所有数据分析报告版权归招标人所有。未经招标人同意，不得向任何人提供监测数据信息，否则视为违约，招标人将有权终止运维合同。</w:t>
            </w:r>
          </w:p>
          <w:p>
            <w:pPr>
              <w:pStyle w:val="null3"/>
              <w:jc w:val="both"/>
            </w:pPr>
            <w:r>
              <w:rPr>
                <w:rFonts w:ascii="仿宋_GB2312" w:hAnsi="仿宋_GB2312" w:cs="仿宋_GB2312" w:eastAsia="仿宋_GB2312"/>
                <w:sz w:val="24"/>
              </w:rPr>
              <w:t>（七）服务人员要求</w:t>
            </w:r>
          </w:p>
          <w:p>
            <w:pPr>
              <w:pStyle w:val="null3"/>
              <w:ind w:firstLine="480"/>
              <w:jc w:val="both"/>
            </w:pPr>
            <w:r>
              <w:rPr>
                <w:rFonts w:ascii="仿宋_GB2312" w:hAnsi="仿宋_GB2312" w:cs="仿宋_GB2312" w:eastAsia="仿宋_GB2312"/>
                <w:sz w:val="24"/>
              </w:rPr>
              <w:t>中标人须配备至少</w:t>
            </w:r>
            <w:r>
              <w:rPr>
                <w:rFonts w:ascii="仿宋_GB2312" w:hAnsi="仿宋_GB2312" w:cs="仿宋_GB2312" w:eastAsia="仿宋_GB2312"/>
                <w:sz w:val="24"/>
              </w:rPr>
              <w:t>2名专业管控服务人员，负责走航服务仪器的日常巡检、定期维护保养、校准、耗材的更换、故障检修等工作，确保仪器设备正常运行并及时传输数据，配合采购人进行污染管控服务。</w:t>
            </w:r>
          </w:p>
          <w:p>
            <w:pPr>
              <w:pStyle w:val="null3"/>
              <w:jc w:val="both"/>
            </w:pPr>
            <w:r>
              <w:rPr>
                <w:rFonts w:ascii="仿宋_GB2312" w:hAnsi="仿宋_GB2312" w:cs="仿宋_GB2312" w:eastAsia="仿宋_GB2312"/>
                <w:sz w:val="24"/>
              </w:rPr>
              <w:t>（八）数据监控分析</w:t>
            </w:r>
          </w:p>
          <w:p>
            <w:pPr>
              <w:pStyle w:val="null3"/>
              <w:jc w:val="both"/>
            </w:pPr>
            <w:r>
              <w:rPr>
                <w:rFonts w:ascii="仿宋_GB2312" w:hAnsi="仿宋_GB2312" w:cs="仿宋_GB2312" w:eastAsia="仿宋_GB2312"/>
                <w:sz w:val="24"/>
              </w:rPr>
              <w:t xml:space="preserve">  建立微信工作群，安排驻场人员对监测数据进行</w:t>
            </w:r>
            <w:r>
              <w:rPr>
                <w:rFonts w:ascii="仿宋_GB2312" w:hAnsi="仿宋_GB2312" w:cs="仿宋_GB2312" w:eastAsia="仿宋_GB2312"/>
                <w:sz w:val="24"/>
              </w:rPr>
              <w:t>24小时盯守，及时发现异常数据，并分析异常数据原因，发现污染问题第一时间上报微信群，及时调度，及时处理。</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标的名称：无人机执法辅助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sz w:val="24"/>
              </w:rPr>
              <w:t>一、采购清单</w:t>
            </w:r>
          </w:p>
          <w:tbl>
            <w:tblPr>
              <w:tblInd w:type="dxa" w:w="105"/>
              <w:tblBorders>
                <w:top w:val="none" w:color="000000" w:sz="4"/>
                <w:left w:val="none" w:color="000000" w:sz="4"/>
                <w:bottom w:val="none" w:color="000000" w:sz="4"/>
                <w:right w:val="none" w:color="000000" w:sz="4"/>
                <w:insideH w:val="none"/>
                <w:insideV w:val="none"/>
              </w:tblBorders>
            </w:tblPr>
            <w:tblGrid>
              <w:gridCol w:w="398"/>
              <w:gridCol w:w="1208"/>
              <w:gridCol w:w="604"/>
              <w:gridCol w:w="343"/>
            </w:tblGrid>
            <w:tr>
              <w:tc>
                <w:tcPr>
                  <w:tcW w:type="dxa" w:w="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w:t>
                  </w:r>
                  <w:r>
                    <w:rPr>
                      <w:rFonts w:ascii="仿宋_GB2312" w:hAnsi="仿宋_GB2312" w:cs="仿宋_GB2312" w:eastAsia="仿宋_GB2312"/>
                      <w:sz w:val="24"/>
                    </w:rPr>
                    <w:t>号</w:t>
                  </w:r>
                </w:p>
              </w:tc>
              <w:tc>
                <w:tcPr>
                  <w:tcW w:type="dxa" w:w="1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服务名称</w:t>
                  </w:r>
                </w:p>
              </w:tc>
              <w:tc>
                <w:tcPr>
                  <w:tcW w:type="dxa" w:w="6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数量</w:t>
                  </w: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单位</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无人机执法辅助</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50</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架次</w:t>
                  </w:r>
                </w:p>
              </w:tc>
            </w:tr>
          </w:tbl>
          <w:p>
            <w:pPr>
              <w:pStyle w:val="null3"/>
            </w:pPr>
            <w:r>
              <w:rPr>
                <w:rFonts w:ascii="仿宋_GB2312" w:hAnsi="仿宋_GB2312" w:cs="仿宋_GB2312" w:eastAsia="仿宋_GB2312"/>
                <w:sz w:val="24"/>
              </w:rPr>
              <w:t>二、服务内容</w:t>
            </w:r>
          </w:p>
          <w:p>
            <w:pPr>
              <w:pStyle w:val="null3"/>
            </w:pPr>
            <w:r>
              <w:rPr>
                <w:rFonts w:ascii="仿宋_GB2312" w:hAnsi="仿宋_GB2312" w:cs="仿宋_GB2312" w:eastAsia="仿宋_GB2312"/>
                <w:sz w:val="24"/>
              </w:rPr>
              <w:t>提供不少于</w:t>
            </w:r>
            <w:r>
              <w:rPr>
                <w:rFonts w:ascii="仿宋_GB2312" w:hAnsi="仿宋_GB2312" w:cs="仿宋_GB2312" w:eastAsia="仿宋_GB2312"/>
                <w:sz w:val="24"/>
              </w:rPr>
              <w:t>8名专业飞行技术人员和2名分析数据处理人员组成四个飞行小组，至少标配4台多旋翼无人机（挂载正射相机、带测温红外热成像相机、无人机气体检测仪），标配4辆多功能运输车，4台无人机正射影像处理工作站，服务期间按照采购人调度安排和无人机执法飞行流程完成由省大气污染治理专项行动领导小组办公室督导检查组组织进行对各市（区）大气污染治理工作进行督查帮扶任务，采集数据专网接入陕西省生态环境无人机过程监控系统进行数据分析，形成数据分析报告。</w:t>
            </w:r>
          </w:p>
          <w:p>
            <w:pPr>
              <w:pStyle w:val="null3"/>
            </w:pPr>
            <w:r>
              <w:rPr>
                <w:rFonts w:ascii="仿宋_GB2312" w:hAnsi="仿宋_GB2312" w:cs="仿宋_GB2312" w:eastAsia="仿宋_GB2312"/>
                <w:sz w:val="24"/>
              </w:rPr>
              <w:t>三、技术及服务要求</w:t>
            </w:r>
          </w:p>
          <w:p>
            <w:pPr>
              <w:pStyle w:val="null3"/>
            </w:pPr>
            <w:r>
              <w:rPr>
                <w:rFonts w:ascii="仿宋_GB2312" w:hAnsi="仿宋_GB2312" w:cs="仿宋_GB2312" w:eastAsia="仿宋_GB2312"/>
                <w:sz w:val="24"/>
              </w:rPr>
              <w:t>3.1、多旋翼无人机设备要求：多旋翼无人机，尺寸≥800×650×400 mm（长×宽×高）,空机重量≥6Kg,最大起飞重量≥9kg，无人机正射影像原始照片清晰度≥4500万像素，视频分辨率≥ 3800x2100@30fps，视频最大支持200倍变焦，红外镜头分辨率≥640X512@30fps。气体检测仪挂载能检测PM2.5、PM10、SO</w:t>
            </w:r>
            <w:r>
              <w:rPr>
                <w:rFonts w:ascii="仿宋_GB2312" w:hAnsi="仿宋_GB2312" w:cs="仿宋_GB2312" w:eastAsia="仿宋_GB2312"/>
                <w:sz w:val="24"/>
              </w:rPr>
              <w:t>₂</w:t>
            </w:r>
            <w:r>
              <w:rPr>
                <w:rFonts w:ascii="仿宋_GB2312" w:hAnsi="仿宋_GB2312" w:cs="仿宋_GB2312" w:eastAsia="仿宋_GB2312"/>
                <w:sz w:val="24"/>
              </w:rPr>
              <w:t>、</w:t>
            </w:r>
            <w:r>
              <w:rPr>
                <w:rFonts w:ascii="仿宋_GB2312" w:hAnsi="仿宋_GB2312" w:cs="仿宋_GB2312" w:eastAsia="仿宋_GB2312"/>
                <w:sz w:val="24"/>
              </w:rPr>
              <w:t>NO</w:t>
            </w:r>
            <w:r>
              <w:rPr>
                <w:rFonts w:ascii="仿宋_GB2312" w:hAnsi="仿宋_GB2312" w:cs="仿宋_GB2312" w:eastAsia="仿宋_GB2312"/>
                <w:sz w:val="24"/>
              </w:rPr>
              <w:t>₂</w:t>
            </w:r>
            <w:r>
              <w:rPr>
                <w:rFonts w:ascii="仿宋_GB2312" w:hAnsi="仿宋_GB2312" w:cs="仿宋_GB2312" w:eastAsia="仿宋_GB2312"/>
                <w:sz w:val="24"/>
              </w:rPr>
              <w:t>、</w:t>
            </w:r>
            <w:r>
              <w:rPr>
                <w:rFonts w:ascii="仿宋_GB2312" w:hAnsi="仿宋_GB2312" w:cs="仿宋_GB2312" w:eastAsia="仿宋_GB2312"/>
                <w:sz w:val="24"/>
              </w:rPr>
              <w:t>NO、臭氧、CO、VOCs 等环境污染因子数据。</w:t>
            </w:r>
          </w:p>
          <w:p>
            <w:pPr>
              <w:pStyle w:val="null3"/>
            </w:pPr>
            <w:r>
              <w:rPr>
                <w:rFonts w:ascii="仿宋_GB2312" w:hAnsi="仿宋_GB2312" w:cs="仿宋_GB2312" w:eastAsia="仿宋_GB2312"/>
                <w:sz w:val="24"/>
              </w:rPr>
              <w:t>3.2、运输车辆要求：配备多功能运输车，3座以上，具有足够空间，可同时运输多旋翼、正摄影像处理工作站，配备车载无人机电池保温箱，配备220V市电，可为无人机电池充电，车载无人机电池保温箱、正射影像处理工作站供电。</w:t>
            </w:r>
          </w:p>
          <w:p>
            <w:pPr>
              <w:pStyle w:val="null3"/>
            </w:pPr>
            <w:r>
              <w:rPr>
                <w:rFonts w:ascii="仿宋_GB2312" w:hAnsi="仿宋_GB2312" w:cs="仿宋_GB2312" w:eastAsia="仿宋_GB2312"/>
                <w:sz w:val="24"/>
              </w:rPr>
              <w:t>3.3、正摄影像处理工作站配置要求：台式工作站，处理器≥I9-12900K 3.19Ghz,内存≥32G,显存容量≥12G,硬盘容量≥24T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4</w:t>
            </w:r>
            <w:r>
              <w:rPr>
                <w:rFonts w:ascii="仿宋_GB2312" w:hAnsi="仿宋_GB2312" w:cs="仿宋_GB2312" w:eastAsia="仿宋_GB2312"/>
                <w:sz w:val="24"/>
                <w:color w:val="000000"/>
              </w:rPr>
              <w:t>、提供投标人数据来源飞行服务单位的民用无人驾驶航空器运营合格证</w:t>
            </w:r>
            <w:r>
              <w:rPr>
                <w:rFonts w:ascii="仿宋_GB2312" w:hAnsi="仿宋_GB2312" w:cs="仿宋_GB2312" w:eastAsia="仿宋_GB2312"/>
                <w:sz w:val="24"/>
                <w:color w:val="000000"/>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自2025年11月1日起1年或达到服务次数</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自2025年11月1日起1年或达到服务次数</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自2025年11月1日起1年或达到服务次数</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陕西省生态环境执法总队指定地点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陕西省生态环境执法总队指定地点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陕西省生态环境执法总队指定地点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合同签订后，投标人向采购人出具银行出具的5%履约担保函（保函期限不少于16个月）后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合同签订后，投标人向采购人出具银行出具的5%履约担保函（保函期限不少于16个月）后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合同签订后，投标人向采购人出具银行出具的5%履约担保函（保函期限不少于16个月）后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1、采购文件要求签字或盖章之处，非法人单位均参照执行。 2、投标人需要在线提交所有通过电子化交易平台实施的政府采购项目的投标文件，同时，线下提交纸质投标文件正本壹份、副本贰份、电子版壹份（U盘壹份）。 3、纸质投标文件正本、副本、电子版，标明投标人名称分开密封递交（投标文件采用双面打印）。 4、线下纸质文件递交截止时间：同在线递交电子投标文件截止时间一致；线下纸质文件递交地点：西安市雁展路1111号莱安中心T6-15层。如需邮寄投标文件，仅接受顺丰速运（联系人：杭琨、联系电话：029-81206622-825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本项目专门面向中小企业采购，投标人须提供声明函。</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本项目专门面向中小企业采购，投标人须提供声明函。</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本项目专门面向中小企业采购，投标人须提供声明函。</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中小企业声明函--采购包1.docx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中小企业声明函--采购包2.docx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中小企业声明函--采购包3.docx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项目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中小企业声明函--采购包1.docx 投标方案说明--采购包1.docx 保证金交纳凭证保函.docx 商务条款响应说明.docx 分项报价表.docx 投标函 残疾人福利性单位声明函 标的清单 投标人资格证明文件.docx 投标文件封面 服务内容及服务要求应答表.docx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中小企业声明函--采购包1.docx 投标方案说明--采购包1.docx 保证金交纳凭证保函.docx 商务条款响应说明.docx 分项报价表.docx 投标函 残疾人福利性单位声明函 标的清单 投标人资格证明文件.docx 投标文件封面 服务内容及服务要求应答表.docx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投标文件封面 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分项报价表.docx 投标函 中小企业声明函--采购包1.docx 标的清单 投标人资格证明文件.docx 投标方案说明--采购包1.docx 服务内容及服务要求应答表.docx 投标人承诺书.docx 商务条款响应说明.docx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项目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中小企业声明函--采购包2.docx 保证金交纳凭证保函.docx 商务条款响应说明.docx 分项报价表.docx 投标函 残疾人福利性单位声明函 标的清单 投标人资格证明文件.docx 投标文件封面 服务内容及服务要求应答表.docx 投标方案说明--采购包2.docx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中小企业声明函--采购包2.docx 保证金交纳凭证保函.docx 商务条款响应说明.docx 分项报价表.docx 投标函 残疾人福利性单位声明函 标的清单 投标人资格证明文件.docx 投标文件封面 服务内容及服务要求应答表.docx 投标方案说明--采购包2.docx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分项报价表.docx 投标函 中小企业声明函--采购包2.docx 标的清单 投标人资格证明文件.docx 服务内容及服务要求应答表.docx 投标方案说明--采购包2.docx 投标人承诺书.docx 商务条款响应说明.docx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项目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保证金交纳凭证保函.docx 商务条款响应说明.docx 投标方案说明--采购包3.docx 中小企业声明函--采购包3.docx 分项报价表.docx 投标函 残疾人福利性单位声明函 标的清单 投标人资格证明文件.docx 投标文件封面 服务内容及服务要求应答表.docx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保证金交纳凭证保函.docx 商务条款响应说明.docx 投标方案说明--采购包3.docx 中小企业声明函--采购包3.docx 分项报价表.docx 投标函 残疾人福利性单位声明函 标的清单 投标人资格证明文件.docx 投标文件封面 服务内容及服务要求应答表.docx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中小企业声明函--采购包3.docx 分项报价表.docx 投标函 标的清单 投标人资格证明文件.docx 服务内容及服务要求应答表.docx 投标人承诺书.docx 商务条款响应说明.docx 投标方案说明--采购包3.docx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根据投标人针对本项目实际情况提供重点难点分析及解决方案，内容包括：①对本项目服务需求理解；②项目风险识别；③重点难点分析及解决方案。 方案各项内容全面详细、阐述条理清晰、对评审内容中的各项要求有详细描述及说明得9分，每有一项缺项扣3分，每有一项内容存在缺陷，扣2分，每有一项内容存在瑕疵，扣1分，扣完为止。 备注： （1）缺陷是指内容不合理、虽有内容但不完善、内容表述前后不一致、套用其他项目方案或与项目需求不匹配及其他不利于项目实施的等任意一种情形。 （2）瑕疵是指内容基本完备可行，但存在部分不符合项目实际或有细节错误之处的等任意一种情形。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投标方案说明--采购包1.docx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根据投标人针对本项目提供周密详细的服务方案，内容包括：①服务流程、规范及标准；②采样管理；③服务优势；④实施进度计划；⑤项目团队架构；⑥预期成果；⑦效益分析。 方案各项内容全面详细、阐述条理清晰、对评审内容中的各项要求有详细描述及说明得21分，每有一项缺项扣3分，每有一项内容存在缺陷，扣2分，每有一项内容存在瑕疵，扣1分，扣完为止。 备注： （1）缺陷是指内容不合理、虽有内容但不完善、内容表述前后不一致、套用其他项目方案或与项目需求不匹配及其他不利于项目实施的等任意一种情形。 （2）瑕疵是指内容基本完备可行，但存在部分不符合项目实际或有细节错误之处的等任意一种情形。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投标方案说明--采购包1.docx</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根据投标人针对本项目提供完整详细的项目管理方案，内容包括：①业务规范制度；②数据质量保证措施；③服务质量保障措施；④安全管理方案；⑤应急保障组织方案；⑥保密措施；⑦项目成果管理方案。 方案各项内容全面详细、阐述条理清晰、对评审内容中的各项要求有详细描述及说明得21分，每有一项缺项扣3分，每有一项内容存在缺陷，扣2分，每有一项内容存在瑕疵，扣1分，扣完为止。 备注： （1）缺陷是指内容不合理、虽有内容但不完善、内容表述前后不一致、套用其他项目方案或与项目需求不匹配及其他不利于项目实施的等任意一种情形。 （2）瑕疵是指内容基本完备可行，但存在部分不符合项目实际或有细节错误之处的等任意一种情形。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投标方案说明--采购包1.docx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根据投标人针对本项目提供的售后服务方案，内容包括：①售后服务标准、流程；②服务方式；③售后服务人员；④服务响应时间。 方案各项内容全面详细、阐述条理清晰、对评审内容中的各项要求有详细描述及说明得12分，每有一项缺项扣3分，每有一项内容存在缺陷，扣2分，每有一项内容存在瑕疵，扣1分，扣完为止。 备注： （1）缺陷是指内容不合理、虽有内容但不完善、内容表述前后不一致、套用其他项目方案或与项目需求不匹配及其他不利于项目实施的等任意一种情形。 （2）瑕疵是指内容基本完备可行，但存在部分不符合项目实际或有细节错误之处的等任意一种情形。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投标方案说明--采购包1.docx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1、承诺接受采购人对服务的考核、监督及管理，定期调研采购人对服务质量的满意度并加以改进，确保服务工作的优质高效，得1分。 2、针对本项目服务工作中的常见质量和服务问题进行梳理，投标人可根据自身情况对服务标准、过程管理、质量保证、后续服务、增值服务等方面作出有利于本项目开展的承诺，每提供1条有效承诺，得1分，最高得4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投标方案说明--采购包1.docx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1、投标人拟投入本项目的项目负责人环境类中级及以上职称得3分。 2、投标人拟投入本项目的人员≥10人，得5分；5人≤人员＜10人，得3分。 备注：投标文件需附项目负责人职称证书、学历证书；拟投入项目人员身份证及与投标人存在合法劳动关系的证明以及相关证书复印件，否则不计分。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投标方案说明--采购包1.docx</w:t>
            </w:r>
          </w:p>
        </w:tc>
      </w:tr>
      <w:tr>
        <w:tc>
          <w:tcPr>
            <w:tcW w:type="dxa" w:w="831"/>
            <w:vMerge/>
          </w:tcPr>
          <w:p/>
        </w:tc>
        <w:tc>
          <w:tcPr>
            <w:tcW w:type="dxa" w:w="1661"/>
          </w:tcPr>
          <w:p>
            <w:pPr>
              <w:pStyle w:val="null3"/>
            </w:pPr>
            <w:r>
              <w:rPr>
                <w:rFonts w:ascii="仿宋_GB2312" w:hAnsi="仿宋_GB2312" w:cs="仿宋_GB2312" w:eastAsia="仿宋_GB2312"/>
              </w:rPr>
              <w:t>投入本项目主要设备</w:t>
            </w:r>
          </w:p>
        </w:tc>
        <w:tc>
          <w:tcPr>
            <w:tcW w:type="dxa" w:w="2492"/>
          </w:tcPr>
          <w:p>
            <w:pPr>
              <w:pStyle w:val="null3"/>
            </w:pPr>
            <w:r>
              <w:rPr>
                <w:rFonts w:ascii="仿宋_GB2312" w:hAnsi="仿宋_GB2312" w:cs="仿宋_GB2312" w:eastAsia="仿宋_GB2312"/>
              </w:rPr>
              <w:t>投标人提供拟投入本项目的主要仪器设备清单（至少包括：服务内容中监测项目所需仪器以及提供对样品检测分析的用途和保障程度）。自有购买设备每提供1台得2分；采用租赁方式提供，每提供一台得1分；本项最高得6分。 备注：若为自有设备，需提供来源证明材料或购买发票复印件加盖公章；若为租赁设备，需提供有效期内的租赁合同复印件加盖公章，未提供或提供不全不得分。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投标方案说明--采购包1.docx</w:t>
            </w:r>
          </w:p>
        </w:tc>
      </w:tr>
      <w:tr>
        <w:tc>
          <w:tcPr>
            <w:tcW w:type="dxa" w:w="831"/>
            <w:vMerge/>
          </w:tcPr>
          <w:p/>
        </w:tc>
        <w:tc>
          <w:tcPr>
            <w:tcW w:type="dxa" w:w="1661"/>
          </w:tcPr>
          <w:p>
            <w:pPr>
              <w:pStyle w:val="null3"/>
            </w:pPr>
            <w:r>
              <w:rPr>
                <w:rFonts w:ascii="仿宋_GB2312" w:hAnsi="仿宋_GB2312" w:cs="仿宋_GB2312" w:eastAsia="仿宋_GB2312"/>
              </w:rPr>
              <w:t>认证证书</w:t>
            </w:r>
          </w:p>
        </w:tc>
        <w:tc>
          <w:tcPr>
            <w:tcW w:type="dxa" w:w="2492"/>
          </w:tcPr>
          <w:p>
            <w:pPr>
              <w:pStyle w:val="null3"/>
            </w:pPr>
            <w:r>
              <w:rPr>
                <w:rFonts w:ascii="仿宋_GB2312" w:hAnsi="仿宋_GB2312" w:cs="仿宋_GB2312" w:eastAsia="仿宋_GB2312"/>
              </w:rPr>
              <w:t>投标人提供质量管理体系认证证书、环境管理体系认证证书、职业健康安全管理体系认证证书，每提供1个证书计1分；满分3分；未提供不得分。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投标方案说明--采购包1.docx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投标人提供自2022年1月1日起至响应截止日期，承接的同类项目业绩（以合同签订日期为准），每份业绩合同计1分，满分5分。 备注：需提供项目合同或协议的关键页（包括但不限于合同首尾页、项目内容页，签字盖章页）扫描件，加盖公章。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投标方案说明--采购包1.docx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投入本项目主要设备</w:t>
            </w:r>
          </w:p>
        </w:tc>
        <w:tc>
          <w:tcPr>
            <w:tcW w:type="dxa" w:w="2492"/>
          </w:tcPr>
          <w:p>
            <w:pPr>
              <w:pStyle w:val="null3"/>
            </w:pPr>
            <w:r>
              <w:rPr>
                <w:rFonts w:ascii="仿宋_GB2312" w:hAnsi="仿宋_GB2312" w:cs="仿宋_GB2312" w:eastAsia="仿宋_GB2312"/>
              </w:rPr>
              <w:t>投标人投入本项目的主要检测设备完全响应招标文件要求，没有实质性负偏离的得 20分；“▲”项为重要参数每负偏离一项扣 2分，非“▲”项参数每负偏离一项扣1分。 备注：“▲”项须按招标文件要求提供证明材料，否则视为负偏离。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投标方案说明--采购包2.docx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1.根据投标人制定的大气环境走航服务方案进行综合评分。 （1）方案内容完全满足招标文件要求，可实施性强、数据分析内容完善，得10分； （2）方案内容基本满足招标文件要求、可实施性较强、数据分析内容基本完善，得8分； （3）方案内容简单，可实施性欠缺，数据分析内容不完善，得6分； （4）方案内容漏项较多，可实施性较差，数据分析内容较差，得4分； （5）方案内容差，可实施性差，数据分析内容差，得2分； （6）未提供不得分。 2.根据投标人制定的管控咨询服务进行综合评分。 （1）方案内容完全满足招标文件要求，可实施性强、数据分析内容完善，得10分； （2）方案内容基本满足招标文件要求、可实施性较强、数据分析内容基本完善，得8分； （3）方案内容简单，可实施性欠缺，数据分析内容不完善，得6分； （4）方案内容漏项较多，可实施性较差，数据分析内容较差，得4分； （5）方案内容差，可实施性差，数据分析内容差，得2分； （6）未提供不得分。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投标方案说明--采购包2.docx</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投标人根据本项目提供详细的运维服务方案。 1、方案内容详细、科学、合理，完全满足项目需求的，得10分； 2、方案内容较详细、科学、合理，基本满足项目需求的，得8分； 3、方案内容简单，合理性欠缺，与项目需求有偏差，得6分； 4、方案内容漏项较多，合理性较差，与项目需求偏差较大，得4分； 5、方案内容差，合理性差，难以满足项目需求，得2分； 6、未提供不得分。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投标方案说明--采购包2.docx</w:t>
            </w:r>
          </w:p>
        </w:tc>
      </w:tr>
      <w:tr>
        <w:tc>
          <w:tcPr>
            <w:tcW w:type="dxa" w:w="831"/>
            <w:vMerge/>
          </w:tcPr>
          <w:p/>
        </w:tc>
        <w:tc>
          <w:tcPr>
            <w:tcW w:type="dxa" w:w="1661"/>
          </w:tcPr>
          <w:p>
            <w:pPr>
              <w:pStyle w:val="null3"/>
            </w:pPr>
            <w:r>
              <w:rPr>
                <w:rFonts w:ascii="仿宋_GB2312" w:hAnsi="仿宋_GB2312" w:cs="仿宋_GB2312" w:eastAsia="仿宋_GB2312"/>
              </w:rPr>
              <w:t>数据分析服务能力</w:t>
            </w:r>
          </w:p>
        </w:tc>
        <w:tc>
          <w:tcPr>
            <w:tcW w:type="dxa" w:w="2492"/>
          </w:tcPr>
          <w:p>
            <w:pPr>
              <w:pStyle w:val="null3"/>
            </w:pPr>
            <w:r>
              <w:rPr>
                <w:rFonts w:ascii="仿宋_GB2312" w:hAnsi="仿宋_GB2312" w:cs="仿宋_GB2312" w:eastAsia="仿宋_GB2312"/>
              </w:rPr>
              <w:t>投标人具备应用本项目中涉及设备结合其他空气监测设备开展空气质量监测的能力，提供数据分析案例，每份证明得2分,满分10分，未提供者不得分。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投标方案说明--采购包2.docx</w:t>
            </w:r>
          </w:p>
        </w:tc>
      </w:tr>
      <w:tr>
        <w:tc>
          <w:tcPr>
            <w:tcW w:type="dxa" w:w="831"/>
            <w:vMerge/>
          </w:tcPr>
          <w:p/>
        </w:tc>
        <w:tc>
          <w:tcPr>
            <w:tcW w:type="dxa" w:w="1661"/>
          </w:tcPr>
          <w:p>
            <w:pPr>
              <w:pStyle w:val="null3"/>
            </w:pPr>
            <w:r>
              <w:rPr>
                <w:rFonts w:ascii="仿宋_GB2312" w:hAnsi="仿宋_GB2312" w:cs="仿宋_GB2312" w:eastAsia="仿宋_GB2312"/>
              </w:rPr>
              <w:t>诚信</w:t>
            </w:r>
          </w:p>
        </w:tc>
        <w:tc>
          <w:tcPr>
            <w:tcW w:type="dxa" w:w="2492"/>
          </w:tcPr>
          <w:p>
            <w:pPr>
              <w:pStyle w:val="null3"/>
            </w:pPr>
            <w:r>
              <w:rPr>
                <w:rFonts w:ascii="仿宋_GB2312" w:hAnsi="仿宋_GB2312" w:cs="仿宋_GB2312" w:eastAsia="仿宋_GB2312"/>
              </w:rPr>
              <w:t>投标人在空气质量监测与运维服务工作过程中，无以下情况的，每个得2分，满分4分： 1. 投标人因数据弄虚作假受到国家环境保护部（现生态环境部）、中国环境监测总站的整改通知、通报、处罚等情况； 2. 投标人及法定代表人、员工（员工的认定以违法行为发生当时劳动合同、聘任合同存续为准）违反《最高人民法院最高人民检察院关于办理环境污染刑事案件适用法律若干问题的解释》第十条，经法院判决触犯破坏计算机信息系统罪等情况。 备注：投标人需提供承诺函并加盖公章，如有弄虚作假情况，将视为无效投标，并报相关部门通报。</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投标方案说明--采购包2.docx</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根据投标人针对本项目实际情况提供重点难点分析及解决方案，内容包括：①对本项目服务需求理解；②项目风险识别；③重点难点分析及解决方案。 方案各项内容全面详细、阐述条理清晰、对评审内容中的各项要求有详细描述及说明得9分，每有一项缺项扣3分，每有一项内容存在缺陷，扣2分，每有一项内容存在瑕疵，扣1分，扣完为止。 备注： （1）缺陷是指内容不合理、虽有内容但不完善、内容表述前后不一致、套用其他项目方案或与项目需求不匹配及其他不利于项目实施的等任意一种情形。 （2）瑕疵是指内容基本完备可行，但存在部分不符合项目实际或有细节错误之处的等任意一种情形。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投标方案说明--采购包2.docx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投标人结合本项目实际情况提供针对本项目的团队配备方案。 1、人员配备齐全、结构合理、专业性强，完全满足项目需求的，得7分； 2、人员配备较齐全、结构较合理、专业性较强，基本满足项目需求的，得4分； 3、人员配备较差、结构混乱、专业性欠缺，难以满足项目需求的，得2分； 4、未提供不得分。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投标方案说明--采购包2.docx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1、承诺接受采购人对服务的考核、监督及管理，定期调研采购人对服务质量的满意度并加以改进，确保服务工作的优质高效，得1分。 2、针对本项目服务工作中的常见质量和服务问题进行梳理，投标人可根据自身情况对服务标准、过程管理、质量保证、后续服务、增值服务等方面作出有利于本项目开展的承诺，每提供1条有效承诺，得1分，最高得3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投标方案说明--采购包2.docx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投标人提供自2022年1月1日起至响应截止日期，承接的同类项目业绩（以合同签订日期为准），每份业绩合同计3分，满分6分； 备注：需提供项目合同或协议的关键页（包括但不限于合同首尾页、项目内容页，签字盖章页）扫描件，加盖公章。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投标方案说明--采购包2.docx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根据投标人针对本项目实际情况提供重点难点分析及解决方案，内容包括：①对本项目服务需求理解；②项目风险识别；③重点难点分析及解决方案。 方案各项内容全面详细、阐述条理清晰、对评审内容中的各项要求有详细描述及说明得6分，每有一项缺项扣2分，每有一项内容存在缺陷，扣1分，每有一项内容存在瑕疵，扣0.5分，扣完为止。 备注： （1）缺陷是指内容不合理、虽有内容但不完善、内容表述前后不一致、套用其他项目方案或与项目需求不匹配及其他不利于项目实施的等任意一种情形。 （2）瑕疵是指内容基本完备可行，但存在部分不符合项目实际或有细节错误之处的等任意一种情形。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投标方案说明--采购包3.docx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根据投标人针对本项目提供周密详细的服务方案，内容包括：①服务优势；②实施进度计划；③数据接入服务方案；④预期成果；⑤效益分析。 方案各项内容全面详细、阐述条理清晰、对评审内容中的各项要求有详细描述及说明得15分，每有一项缺项扣3分，每有一项内容存在缺陷，扣2分，每有一项内容存在瑕疵，扣1分，扣完为止。 备注： （1）缺陷是指内容不合理、虽有内容但不完善、内容表述前后不一致、套用其他项目方案或与项目需求不匹配及其他不利于项目实施的等任意一种情形。 （2）瑕疵是指内容基本完备可行，但存在部分不符合项目实际或有细节错误之处的等任意一种情形。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投标方案说明--采购包3.docx</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根据投标人针对本项目提供完整详细的项目管理方案，内容包括：①服务质量保障措施；③数据质量保障措施③安全管理方案；④应急预案及解决措施；⑤保密措施。 方案各项内容全面详细、阐述条理清晰、对评审内容中的各项要求有详细描述及说明得15分，每有一项缺项扣3分，每有一项内容存在缺陷，扣2分，每有一项内容存在瑕疵，扣1分，扣完为止。 备注： （1）缺陷是指内容不合理、虽有内容但不完善、内容表述前后不一致、套用其他项目方案或与项目需求不匹配及其他不利于项目实施的等任意一种情形。 （2）瑕疵是指内容基本完备可行，但存在部分不符合项目实际或有细节错误之处的等任意一种情形。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投标方案说明--采购包3.docx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根据投标人针对本项目提供的售后服务方案，内容包括：①售后服务承诺；②售后服务方式；③售后服务人员；④服务响应时间。 方案各项内容全面详细、阐述条理清晰、对评审内容中的各项要求有详细描述及说明得8分，每有一项缺项扣2分，每有一项内容存在缺陷，扣1分，每有一项内容存在瑕疵，扣0.5分，扣完为止。 备注： （1）缺陷是指内容不合理、虽有内容但不完善、内容表述前后不一致、套用其他项目方案或与项目需求不匹配及其他不利于项目实施的等任意一种情形。 （2）瑕疵是指内容基本完备可行，但存在部分不符合项目实际或有细节错误之处的等任意一种情形。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投标方案说明--采购包3.docx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1、承诺接受采购人对服务的考核、监督及管理，定期调研采购人对服务质量的满意度并加以改进，确保服务工作的优质高效，得1分。 2、针对本项目服务工作中的常见质量和服务问题进行梳理，投标人可根据自身情况对服务标准、过程管理、质量保证、后续服务、增值服务等方面作出有利于本项目开展的承诺，每提供1条有效承诺，得1分，最高得3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投标方案说明--采购包3.docx</w:t>
            </w:r>
          </w:p>
        </w:tc>
      </w:tr>
      <w:tr>
        <w:tc>
          <w:tcPr>
            <w:tcW w:type="dxa" w:w="831"/>
            <w:vMerge/>
          </w:tcPr>
          <w:p/>
        </w:tc>
        <w:tc>
          <w:tcPr>
            <w:tcW w:type="dxa" w:w="1661"/>
          </w:tcPr>
          <w:p>
            <w:pPr>
              <w:pStyle w:val="null3"/>
            </w:pPr>
            <w:r>
              <w:rPr>
                <w:rFonts w:ascii="仿宋_GB2312" w:hAnsi="仿宋_GB2312" w:cs="仿宋_GB2312" w:eastAsia="仿宋_GB2312"/>
              </w:rPr>
              <w:t>无人机飞行采集数据专网接入</w:t>
            </w:r>
          </w:p>
        </w:tc>
        <w:tc>
          <w:tcPr>
            <w:tcW w:type="dxa" w:w="2492"/>
          </w:tcPr>
          <w:p>
            <w:pPr>
              <w:pStyle w:val="null3"/>
            </w:pPr>
            <w:r>
              <w:rPr>
                <w:rFonts w:ascii="仿宋_GB2312" w:hAnsi="仿宋_GB2312" w:cs="仿宋_GB2312" w:eastAsia="仿宋_GB2312"/>
              </w:rPr>
              <w:t>投标人提供生态环境执法无人机过程监控系统功能及架构，能提供详细的数据专网接入方案。 (1)满足招标文件要求，无瑕疵：8分； (2)内容存在1处瑕疵：6分； (3)内容存在2处瑕疵：4分； (4)内容存在3处瑕疵：2分； (5)未提供或不满足招标文件要求或内容存在4处及以上瑕疵：0分。 注：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投标方案说明--采购包3.docx</w:t>
            </w:r>
          </w:p>
        </w:tc>
      </w:tr>
      <w:tr>
        <w:tc>
          <w:tcPr>
            <w:tcW w:type="dxa" w:w="831"/>
            <w:vMerge/>
          </w:tcPr>
          <w:p/>
        </w:tc>
        <w:tc>
          <w:tcPr>
            <w:tcW w:type="dxa" w:w="1661"/>
          </w:tcPr>
          <w:p>
            <w:pPr>
              <w:pStyle w:val="null3"/>
            </w:pPr>
            <w:r>
              <w:rPr>
                <w:rFonts w:ascii="仿宋_GB2312" w:hAnsi="仿宋_GB2312" w:cs="仿宋_GB2312" w:eastAsia="仿宋_GB2312"/>
              </w:rPr>
              <w:t>空域及飞行流程</w:t>
            </w:r>
          </w:p>
        </w:tc>
        <w:tc>
          <w:tcPr>
            <w:tcW w:type="dxa" w:w="2492"/>
          </w:tcPr>
          <w:p>
            <w:pPr>
              <w:pStyle w:val="null3"/>
            </w:pPr>
            <w:r>
              <w:rPr>
                <w:rFonts w:ascii="仿宋_GB2312" w:hAnsi="仿宋_GB2312" w:cs="仿宋_GB2312" w:eastAsia="仿宋_GB2312"/>
              </w:rPr>
              <w:t>1、投标人提供2023年1月至今的通用航空临时空域回执单或空域批复文件；提供1个计1分，共2分；未提供不计分。 2、投标人具有空域申请能力，熟悉生态环境执法无人机过程监控系统，能根据执法任务提出全面合理规范的飞行流程。 (1)满足招标文件要求，无瑕疵：5分； (2)内容存在1处瑕疵：3分； (3)内容存在2处瑕疵：1分； (4)未提供或不满足招标文件要求或内容存在3处及以上瑕疵：0分。 注：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投标方案说明--采购包3.docx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1、每提供一名持有中国民用航空局签发的民用无人驾驶航空器操控员执照人员，每提供1人计0.5分，满分4分； 2、持有中国民用航空局签发的民用无人驾驶航空器操控员执照人员同时持有超视距-多旋翼和中级及以上通信工程师资格证书的人员，每提供1人计1分，满分4分； 3、数据接入分析处理员须具有软件开发或程序设计类职业资格证书，每提供1人计1分，满分2分。 备注：须同时提供以上人员相关证书证明及与投标人存在合法劳动关系的证明，并加盖公章，单个人员未提供或提供不全的不计分。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投标方案说明--采购包3.docx</w:t>
            </w:r>
          </w:p>
        </w:tc>
      </w:tr>
      <w:tr>
        <w:tc>
          <w:tcPr>
            <w:tcW w:type="dxa" w:w="831"/>
            <w:vMerge/>
          </w:tcPr>
          <w:p/>
        </w:tc>
        <w:tc>
          <w:tcPr>
            <w:tcW w:type="dxa" w:w="1661"/>
          </w:tcPr>
          <w:p>
            <w:pPr>
              <w:pStyle w:val="null3"/>
            </w:pPr>
            <w:r>
              <w:rPr>
                <w:rFonts w:ascii="仿宋_GB2312" w:hAnsi="仿宋_GB2312" w:cs="仿宋_GB2312" w:eastAsia="仿宋_GB2312"/>
              </w:rPr>
              <w:t>投入本项目主要设备</w:t>
            </w:r>
          </w:p>
        </w:tc>
        <w:tc>
          <w:tcPr>
            <w:tcW w:type="dxa" w:w="2492"/>
          </w:tcPr>
          <w:p>
            <w:pPr>
              <w:pStyle w:val="null3"/>
            </w:pPr>
            <w:r>
              <w:rPr>
                <w:rFonts w:ascii="仿宋_GB2312" w:hAnsi="仿宋_GB2312" w:cs="仿宋_GB2312" w:eastAsia="仿宋_GB2312"/>
              </w:rPr>
              <w:t>提供无人机购置发票或租赁协议，提供车辆购置发票、车辆行驶证、车辆保险等证明材料，确保拟投入本项目的车辆及设备能够满足采购需求。 （1）满足招标文件要求，无瑕疵：8分； （2）内容存在1处瑕疵：6分； （3）内容存在2处瑕疵：4分； （4）内容存在3处瑕疵：2分； （5）未提供或不满足招标文件要求或内容存在4处及以上瑕疵：0分。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投标方案说明--采购包3.docx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1、投标人提供国内互联网虚拟空器运定专网增值电信业务经营许可证，提供证书计2分。未提供不计分。 2、投标人提供民用无人机企业服务能力乙级及以上资质证书、无人机测绘企业服务乙级及以上资质证书，提供一个证书计1分，满分2分。未提供不计分。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投标方案说明--采购包3.docx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投标人提供自2022年1月1日起至响应截止日期，承接的同类项目业绩（以合同签订日期为准），每份业绩合同计1分，满分5分； 备注：需提供项目合同或协议的关键页（包括但不限于合同首尾页、项目内容页，签字盖章页）扫描件，加盖公章。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投标方案说明--采购包3.docx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详见附件：投标方案说明--采购包1.docx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详见附件：中小企业声明函--采购包1.docx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详见附件：投标方案说明--采购包2.docx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详见附件：中小企业声明函--采购包2.docx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详见附件：投标方案说明--采购包3.docx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详见附件：中小企业声明函--采购包3.docx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