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版本号：SZT2025-SN-SC-ZC-GC-063020250630001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东区逸夫楼部分教学空间整体改造项目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SZT2025-SN-SC-ZC-GC-0630</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东区逸夫楼部分教学空间整体改造项目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SZT2025-SN-SC-ZC-GC-0630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东区逸夫楼部分教学空间整体改造项目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西安邮电大学东区逸夫楼部分教学空间进行整体装修和局部改造。具体位置为西安邮电大学长安校区东区逸夫教学楼西北角2-4层，包含120人大教室6间、80人中教室6间、40人小教室2间，单间办公室1间、卫生间6间、茶水间3间，以及门厅、楼梯间、电梯间等，总面积共计约2700平米。主要装修改造内容为：制作学院背景墙、改造学院门厅（含楼门改造和大厅改造）、教室装修、卫生间装修、茶水间改造、办公室改造、楼内公共区域改造等（具体以施工图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采购包1（东区逸夫楼部分教学空间整体改造项目）：属于专门面向中小企业采购。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1、拟派项目经理要求：拟派项目经理具备建筑工程专业注册建造师二级及以上（含二级）执业资格，且同时具备有效的安全生产考核证（建安B证），在本单位注册；（提供证书复印件） 未担任其他在建工程项目的项目经理（提供承诺函），在“陕西省住房和城乡建 设厅”可查询（提供截图）。</w:t>
      </w:r>
    </w:p>
    <w:p>
      <w:pPr>
        <w:pStyle w:val="null3"/>
      </w:pPr>
      <w:r>
        <w:rPr>
          <w:rFonts w:ascii="仿宋_GB2312" w:hAnsi="仿宋_GB2312" w:cs="仿宋_GB2312" w:eastAsia="仿宋_GB2312"/>
        </w:rPr>
        <w:t>2、供应商：具备建筑工程施工总承包三级及以上（含三级），并具备有效的安全生产许可证，在“陕西省住房和城乡建设厅”可查询（提供截图）。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赵静、李娜、单博、毛冠奇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采购包1：1,652,000.00元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不需要</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不需要</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不需要</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说明：供应商合同签订前缴纳。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代理服务费收费标准：采购代理服务费的收取参见国家计委颁布的《招标代理服务收费管理暂行办法》（计价格[2002]1980号）和（发改办价格[2003]857号）工程类收费标准下浮20%收取。 开户名称：陕西中技招标有限公司 开户行名称：招商银行西安分行营业部 账 号：129916812810001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踏勘时间：2025-07-08 09:30:00</w:t>
            </w:r>
          </w:p>
          <w:p>
            <w:pPr>
              <w:pStyle w:val="null3"/>
              <w:ind w:firstLine="975"/>
            </w:pPr>
            <w:r>
              <w:rPr>
                <w:rFonts w:ascii="仿宋_GB2312" w:hAnsi="仿宋_GB2312" w:cs="仿宋_GB2312" w:eastAsia="仿宋_GB2312"/>
              </w:rPr>
              <w:t>踏勘地点：西安邮电大学长安校区东区逸夫教学楼西北角</w:t>
            </w:r>
          </w:p>
          <w:p>
            <w:pPr>
              <w:pStyle w:val="null3"/>
              <w:ind w:firstLine="975"/>
            </w:pPr>
            <w:r>
              <w:rPr>
                <w:rFonts w:ascii="仿宋_GB2312" w:hAnsi="仿宋_GB2312" w:cs="仿宋_GB2312" w:eastAsia="仿宋_GB2312"/>
              </w:rPr>
              <w:t>联系人：赵静</w:t>
            </w:r>
          </w:p>
          <w:p>
            <w:pPr>
              <w:pStyle w:val="null3"/>
              <w:ind w:firstLine="975"/>
            </w:pPr>
            <w:r>
              <w:rPr>
                <w:rFonts w:ascii="仿宋_GB2312" w:hAnsi="仿宋_GB2312" w:cs="仿宋_GB2312" w:eastAsia="仿宋_GB2312"/>
              </w:rPr>
              <w:t>联系电话号码：13991865045</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西安邮电大学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隐蔽工程验收：对具备覆盖、掩盖条件的工程部位，乙方自检合格后在隐蔽前24小时书面通知甲方和监理方工作人员进行现场验收。通知内容包括乙方自检记录、隐蔽验收的内容，验收时间和地点，乙方准备验收记录。验收合格，甲方工作人员现场在验收记录上签字同意后，乙方方可进行隐蔽和继续施工。验收不合格，乙方在限定时间内整改后重新验收。因乙方原因工程质量达不到合同约定的质量验收标准，乙方应当无条件返工同时返工费用自理，并向甲方支付合同总价1%的违约金。工期不予顺延。 2.设备、材料到场验收：货物、材料到达现场后，甲方对到场设备、材料进行初步验收，货物与材料与响应时提交的样品一致视为初验合格，方可进行安装。如不一致乙方协调厂家进行更换，因此造成的工期延误或其他损失，由乙方负责赔偿。 3.竣工验收：项目完工后，由乙方按验收技术标准进行质量自验合格且提交验收报告后，方可由甲方组织综合验收；乙方未提交验收报告的，由乙方承担工程结算等不利后果。工程验收合格后，乙方须在 15 天内向甲方递交竣工结算报告及完整的结算资料。 4.质保期满验收：质保期满后，由乙方提出验收申请，甲方组织复验。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联系人：戴杨</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地址：西安市莲湖区高新四路 1 号高科广场 A1001 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1,652,000.00</w:t>
      </w:r>
    </w:p>
    <w:p>
      <w:pPr>
        <w:pStyle w:val="null3"/>
      </w:pPr>
      <w:r>
        <w:rPr>
          <w:rFonts w:ascii="仿宋_GB2312" w:hAnsi="仿宋_GB2312" w:cs="仿宋_GB2312" w:eastAsia="仿宋_GB2312"/>
        </w:rPr>
        <w:t>采购包最高限价（元）: 1,394,208.78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西安邮电大学东区逸夫楼部分教学空间整体改造项目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1,652,000.00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标的名称：西安邮电大学东区逸夫楼部分教学空间整体改造项目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w:t>
            </w:r>
            <w:r>
              <w:rPr>
                <w:rFonts w:ascii="仿宋_GB2312" w:hAnsi="仿宋_GB2312" w:cs="仿宋_GB2312" w:eastAsia="仿宋_GB2312"/>
              </w:rPr>
              <w:t>工程项目内容及主要材料设备清单，详见工程量清单</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施工及技术要求：除符合国家相应标准、规范等外，不得影响学生正常起居生活，保证施工和学生安全。</w:t>
            </w:r>
          </w:p>
          <w:p>
            <w:pPr>
              <w:pStyle w:val="null3"/>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项目需执行的国家标准、行业标准、地方标准或者其他标准、规范等：</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、《火灾自动报警系统施工与验收规范》（</w:t>
            </w:r>
            <w:r>
              <w:rPr>
                <w:rFonts w:ascii="仿宋_GB2312" w:hAnsi="仿宋_GB2312" w:cs="仿宋_GB2312" w:eastAsia="仿宋_GB2312"/>
                <w:sz w:val="21"/>
              </w:rPr>
              <w:t>GB50166-2019</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、《消防给水及消火栓系统技术规范》（</w:t>
            </w:r>
            <w:r>
              <w:rPr>
                <w:rFonts w:ascii="仿宋_GB2312" w:hAnsi="仿宋_GB2312" w:cs="仿宋_GB2312" w:eastAsia="仿宋_GB2312"/>
                <w:sz w:val="21"/>
              </w:rPr>
              <w:t>GB60974-2014</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、《建筑给排水及采暖施工质量验收规范》（</w:t>
            </w:r>
            <w:r>
              <w:rPr>
                <w:rFonts w:ascii="仿宋_GB2312" w:hAnsi="仿宋_GB2312" w:cs="仿宋_GB2312" w:eastAsia="仿宋_GB2312"/>
                <w:sz w:val="21"/>
              </w:rPr>
              <w:t>GB50242-2002</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、《采暖通风与空气调节设计规范》（</w:t>
            </w:r>
            <w:r>
              <w:rPr>
                <w:rFonts w:ascii="仿宋_GB2312" w:hAnsi="仿宋_GB2312" w:cs="仿宋_GB2312" w:eastAsia="仿宋_GB2312"/>
                <w:sz w:val="21"/>
              </w:rPr>
              <w:t>GB50019-20023</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、《建筑设计防火规范》（</w:t>
            </w:r>
            <w:r>
              <w:rPr>
                <w:rFonts w:ascii="仿宋_GB2312" w:hAnsi="仿宋_GB2312" w:cs="仿宋_GB2312" w:eastAsia="仿宋_GB2312"/>
                <w:sz w:val="21"/>
              </w:rPr>
              <w:t>GB50016-2014</w:t>
            </w:r>
            <w:r>
              <w:rPr>
                <w:rFonts w:ascii="仿宋_GB2312" w:hAnsi="仿宋_GB2312" w:cs="仿宋_GB2312" w:eastAsia="仿宋_GB2312"/>
                <w:sz w:val="21"/>
              </w:rPr>
              <w:t>）（</w:t>
            </w:r>
            <w:r>
              <w:rPr>
                <w:rFonts w:ascii="仿宋_GB2312" w:hAnsi="仿宋_GB2312" w:cs="仿宋_GB2312" w:eastAsia="仿宋_GB2312"/>
                <w:sz w:val="21"/>
              </w:rPr>
              <w:t xml:space="preserve">2018 </w:t>
            </w:r>
            <w:r>
              <w:rPr>
                <w:rFonts w:ascii="仿宋_GB2312" w:hAnsi="仿宋_GB2312" w:cs="仿宋_GB2312" w:eastAsia="仿宋_GB2312"/>
                <w:sz w:val="21"/>
              </w:rPr>
              <w:t>版）</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、《火灾自动报警系统设计规范》（</w:t>
            </w:r>
            <w:r>
              <w:rPr>
                <w:rFonts w:ascii="仿宋_GB2312" w:hAnsi="仿宋_GB2312" w:cs="仿宋_GB2312" w:eastAsia="仿宋_GB2312"/>
                <w:sz w:val="21"/>
              </w:rPr>
              <w:t>GB50116-2013</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、《自动喷水灭火系统设计规范》（</w:t>
            </w:r>
            <w:r>
              <w:rPr>
                <w:rFonts w:ascii="仿宋_GB2312" w:hAnsi="仿宋_GB2312" w:cs="仿宋_GB2312" w:eastAsia="仿宋_GB2312"/>
                <w:sz w:val="21"/>
              </w:rPr>
              <w:t>GB50084-2001</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、《消防应急照明和疏散指示系统》</w:t>
            </w:r>
            <w:r>
              <w:rPr>
                <w:rFonts w:ascii="仿宋_GB2312" w:hAnsi="仿宋_GB2312" w:cs="仿宋_GB2312" w:eastAsia="仿宋_GB2312"/>
                <w:sz w:val="21"/>
              </w:rPr>
              <w:t>GB17945-2010</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、《建筑给水排水设计规范》</w:t>
            </w:r>
            <w:r>
              <w:rPr>
                <w:rFonts w:ascii="仿宋_GB2312" w:hAnsi="仿宋_GB2312" w:cs="仿宋_GB2312" w:eastAsia="仿宋_GB2312"/>
                <w:sz w:val="21"/>
              </w:rPr>
              <w:t>GB50015-2003</w:t>
            </w:r>
            <w:r>
              <w:rPr>
                <w:rFonts w:ascii="仿宋_GB2312" w:hAnsi="仿宋_GB2312" w:cs="仿宋_GB2312" w:eastAsia="仿宋_GB2312"/>
                <w:sz w:val="21"/>
              </w:rPr>
              <w:t>（</w:t>
            </w:r>
            <w:r>
              <w:rPr>
                <w:rFonts w:ascii="仿宋_GB2312" w:hAnsi="仿宋_GB2312" w:cs="仿宋_GB2312" w:eastAsia="仿宋_GB2312"/>
                <w:sz w:val="21"/>
              </w:rPr>
              <w:t xml:space="preserve">2009 </w:t>
            </w:r>
            <w:r>
              <w:rPr>
                <w:rFonts w:ascii="仿宋_GB2312" w:hAnsi="仿宋_GB2312" w:cs="仿宋_GB2312" w:eastAsia="仿宋_GB2312"/>
                <w:sz w:val="21"/>
              </w:rPr>
              <w:t>年版）</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、《建筑灭火器配置设计规范》</w:t>
            </w:r>
            <w:r>
              <w:rPr>
                <w:rFonts w:ascii="仿宋_GB2312" w:hAnsi="仿宋_GB2312" w:cs="仿宋_GB2312" w:eastAsia="仿宋_GB2312"/>
                <w:sz w:val="21"/>
              </w:rPr>
              <w:t>GB50140-2005</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、《消防设备电源监控系统》</w:t>
            </w:r>
            <w:r>
              <w:rPr>
                <w:rFonts w:ascii="仿宋_GB2312" w:hAnsi="仿宋_GB2312" w:cs="仿宋_GB2312" w:eastAsia="仿宋_GB2312"/>
                <w:sz w:val="21"/>
              </w:rPr>
              <w:t>GB28184-2011</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、《消防控制室通用技术要求》</w:t>
            </w:r>
            <w:r>
              <w:rPr>
                <w:rFonts w:ascii="仿宋_GB2312" w:hAnsi="仿宋_GB2312" w:cs="仿宋_GB2312" w:eastAsia="仿宋_GB2312"/>
                <w:sz w:val="21"/>
              </w:rPr>
              <w:t>GB25506-2010</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、《自动喷水灭火系统施工与验收规范》</w:t>
            </w:r>
            <w:r>
              <w:rPr>
                <w:rFonts w:ascii="仿宋_GB2312" w:hAnsi="仿宋_GB2312" w:cs="仿宋_GB2312" w:eastAsia="仿宋_GB2312"/>
                <w:sz w:val="21"/>
              </w:rPr>
              <w:t>GB 50261-2017</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、《建筑防排烟系统技术标准》</w:t>
            </w:r>
            <w:r>
              <w:rPr>
                <w:rFonts w:ascii="仿宋_GB2312" w:hAnsi="仿宋_GB2312" w:cs="仿宋_GB2312" w:eastAsia="仿宋_GB2312"/>
                <w:sz w:val="21"/>
              </w:rPr>
              <w:t>GB51251-2017</w:t>
            </w:r>
          </w:p>
          <w:p>
            <w:pPr>
              <w:pStyle w:val="null3"/>
              <w:jc w:val="both"/>
            </w:pPr>
            <w:r>
              <w:rPr>
                <w:rFonts w:ascii="仿宋_GB2312" w:hAnsi="仿宋_GB2312" w:cs="仿宋_GB2312" w:eastAsia="仿宋_GB2312"/>
                <w:sz w:val="21"/>
              </w:rPr>
              <w:t>注：包括但不限于以上规范、标准，且以上规范、标准若有更新及替换，自动按最新现行版执行。</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工艺达到国家级行业现行技术规范标准，符合国家国家级行业验收合格标准。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（1）详见工程量清单编制说明 （2）付款方式：1）工程完工后，甲方验收合格后付工程款60%；2）审计结束后付款至100%。 （3）工期：中标之日起30日内完工。 （4）质量保修范围和保修期：1）保修范围：学院外墙Logo、图标及字体，学院背景墙、学院门厅标识、教室门窗、吊顶、灯具、开关、卫生间柜子、水龙头、茶水间柜子、电梯间背景墙。2）保修期：保修范围内的所有工程及设施、设备统一为2年。3）防水质保期为5年。 （5）文化墙和展板的设计与制作需要由成交供应商承担，具体设计方案和效果需要与采购人沟通，采购人确定后方可设计并制作。 （6）已标价的工程量清单应按照代理机构所发布的电子招标书进行编制，生成后放入响应文件中，已标价工程量清单扉页需加盖有注册或登记在工程造价咨询企业的造价人员签字并盖执业印章。如未按要求加盖注册造价师执业章按无效标处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1、施工要求 （1）施工前应进行设计交底工作，并应对施工现场进行核查，了解学校物业管理的有关规定。（2）各工序，各分项工程应自检、互检及交接检。 （3）施工中，严禁损坏房屋原有绝热设施；严禁损坏受力钢筋；严禁超荷载集中堆放物品；严禁在预制混凝土空心楼板上打孔安装埋件。 （4）施工中，严禁擅自改动建筑主体。承重结构或改变房间主要使用功能；严禁擅自拆改燃气、暖气、通讯等配套设施。 （5）管道、设备工程的安装及调试应在装饰装修工程施工前完成，必须同步进行的应在饰面层施工前完成。装饰装修工程不得影响管道、设备的使用和维修。涉及水、电、暖气管道的装饰装修工程必须符合有关安全管理的规定。 （6）施工人员应遵守有关施工安全、劳动保护、防火、防毒的法律，法规。 （7）施工现场用电应符合下列规定：①施工现场用电应从户表以后设立临时施工用电系统。②安装、维修或拆除临时施工用电系统，应由电工完成。③临时施工供电开关箱中应装设漏电保护器。进入开关箱的电源线不得用插销连接。④最先进用电线路应避开易燃、易爆物品堆放地。⑤暂停施工时应切断电源。 （8）施工现场用水应符合下列规定：①不得在未做防水的地面蓄水。②临时用水管不得有破损、滴漏。③暂停施工时应切断水源。 （9）文明施工和现场环境应符合下列要求：①施工人员应衣着整齐。②施工人员应服从物业管理或治安保卫人员的监督、管理。③应控制粉尘、污染物、噪声、震动等对相邻居民、居民区和城市环境的污染及危害。④施工堆料不得占用楼道内的公共空间，封堵紧急出口。⑤室外堆料应遵守物业管理规定，避开公共通道、绿化地、化粪池等市政公用设施。⑥工程垃圾宜密封包装，并放在指定垃圾堆放地。⑦不得堵塞、破坏上下水管道、垃圾道等公共设施，不得损坏楼内各种公共标识。⑧工程验收前应将施工现场清理干净。 2、为顺利推进政府采购电子化交易平台试点应用工作，供应商需要在线提交所有通过电子化交易平台实施的政府采购项目的响应文件。成交供应商需提供与线上响应文件一致的文件正本 壹 份、副本 贰套。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供应商为本项目提供的资格证明文件及其他.docx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供应商为本项目提供的资格证明文件及其他.docx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需要落实的政府采购政策.docx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拟派项目经理要求</w:t>
            </w:r>
          </w:p>
        </w:tc>
        <w:tc>
          <w:tcPr>
            <w:tcW w:type="dxa" w:w="3322"/>
          </w:tcPr>
          <w:p>
            <w:pPr>
              <w:pStyle w:val="null3"/>
            </w:pPr>
            <w:r>
              <w:rPr>
                <w:rFonts w:ascii="仿宋_GB2312" w:hAnsi="仿宋_GB2312" w:cs="仿宋_GB2312" w:eastAsia="仿宋_GB2312"/>
              </w:rPr>
              <w:t>拟派项目经理具备建筑工程专业注册建造师二级及以上（含二级）执业资格，且同时具备有效的安全生产考核证（建安B证），在本单位注册；（提供证书复印件） 未担任其他在建工程项目的项目经理（提供承诺函），在“陕西省住房和城乡建 设厅”可查询（提供截图）。</w:t>
            </w:r>
          </w:p>
        </w:tc>
        <w:tc>
          <w:tcPr>
            <w:tcW w:type="dxa" w:w="1661"/>
          </w:tcPr>
          <w:p>
            <w:pPr>
              <w:pStyle w:val="null3"/>
            </w:pPr>
            <w:r>
              <w:rPr>
                <w:rFonts w:ascii="仿宋_GB2312" w:hAnsi="仿宋_GB2312" w:cs="仿宋_GB2312" w:eastAsia="仿宋_GB2312"/>
              </w:rPr>
              <w:t>供应商为本项目提供的资格证明文件及其他.docx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w:t>
            </w:r>
          </w:p>
        </w:tc>
        <w:tc>
          <w:tcPr>
            <w:tcW w:type="dxa" w:w="3322"/>
          </w:tcPr>
          <w:p>
            <w:pPr>
              <w:pStyle w:val="null3"/>
            </w:pPr>
            <w:r>
              <w:rPr>
                <w:rFonts w:ascii="仿宋_GB2312" w:hAnsi="仿宋_GB2312" w:cs="仿宋_GB2312" w:eastAsia="仿宋_GB2312"/>
              </w:rPr>
              <w:t>具备建筑工程施工总承包三级及以上（含三级），并具备有效的安全生产许可证，在“陕西省住房和城乡建设厅”可查询（提供截图）。</w:t>
            </w:r>
          </w:p>
        </w:tc>
        <w:tc>
          <w:tcPr>
            <w:tcW w:type="dxa" w:w="1661"/>
          </w:tcPr>
          <w:p>
            <w:pPr>
              <w:pStyle w:val="null3"/>
            </w:pPr>
            <w:r>
              <w:rPr>
                <w:rFonts w:ascii="仿宋_GB2312" w:hAnsi="仿宋_GB2312" w:cs="仿宋_GB2312" w:eastAsia="仿宋_GB2312"/>
              </w:rPr>
              <w:t>供应商为本项目提供的资格证明文件及其他.docx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供应商提供自2023年1月1日至今承接的类似业绩证明材料，每提供1项得1分，满分5分。 注：业绩证明材料为加盖供应商公章的合同复印件或扫描件，时间以合同签订时间为准，缺少资料或未按照上述要求提供的，均按照0分计入。</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拟派项目经理</w:t>
            </w:r>
          </w:p>
        </w:tc>
        <w:tc>
          <w:tcPr>
            <w:tcW w:type="dxa" w:w="2492"/>
          </w:tcPr>
          <w:p>
            <w:pPr>
              <w:pStyle w:val="null3"/>
            </w:pPr>
            <w:r>
              <w:rPr>
                <w:rFonts w:ascii="仿宋_GB2312" w:hAnsi="仿宋_GB2312" w:cs="仿宋_GB2312" w:eastAsia="仿宋_GB2312"/>
              </w:rPr>
              <w:t>1.拟派项目经理的职称（2分） 拟派项目经理具备高级工程师及以上技术职称的（含高级工程师），得2分；具备工程师技术职称的，得1分；其余情况不得分。 评审依据：评审时以供应商提供的加盖供应商公章的拟派项目经理最高职称证书的扫描件或复印件为准，提供多个职称证明材料的，以最高职称材料为准，未提供的不得分。 2.拟派项目经理经验（2分） 供应商每提供1项拟派项目经理自2023年1月1日以来至今已完成的类似工程项目业绩的（在该项目中担任项目经理一职），得1分；最高得2分。 评审依据：附合同复印件或扫描件并加盖供应商公章，时间以合同签订时间为准。缺少资料或未按照上述要求提供的，均按照0分计入。 注：所提供合同复印件或扫描件中必须体现拟派项目经理在该项目中担任项目经理一职，否则不予赋分；与企业业绩可重复提供。</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参与本项目主要人员配备表.docx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供应商拟投入本项目所使用的主要材料中的产品属于政府采购优先采购范围的，则每有一项为节能产品或者环境标志产品的得0.5分，非节能、环境标志产品的不得分。本项最多得2分。 注：属于优先采购范围内的节能产品或者环境标志产品的，提供国家确定的认证机构出具的、处于有效期之内的节能产品、环境标志产品认证证书复印件加盖供应商公章。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节能环保表.docx</w:t>
            </w:r>
          </w:p>
        </w:tc>
      </w:tr>
      <w:tr>
        <w:tc>
          <w:tcPr>
            <w:tcW w:type="dxa" w:w="831"/>
            <w:vMerge/>
          </w:tcPr>
          <w:p/>
        </w:tc>
        <w:tc>
          <w:tcPr>
            <w:tcW w:type="dxa" w:w="1661"/>
          </w:tcPr>
          <w:p>
            <w:pPr>
              <w:pStyle w:val="null3"/>
            </w:pPr>
            <w:r>
              <w:rPr>
                <w:rFonts w:ascii="仿宋_GB2312" w:hAnsi="仿宋_GB2312" w:cs="仿宋_GB2312" w:eastAsia="仿宋_GB2312"/>
              </w:rPr>
              <w:t>主要材料要求</w:t>
            </w:r>
          </w:p>
        </w:tc>
        <w:tc>
          <w:tcPr>
            <w:tcW w:type="dxa" w:w="2492"/>
          </w:tcPr>
          <w:p>
            <w:pPr>
              <w:pStyle w:val="null3"/>
            </w:pPr>
            <w:r>
              <w:rPr>
                <w:rFonts w:ascii="仿宋_GB2312" w:hAnsi="仿宋_GB2312" w:cs="仿宋_GB2312" w:eastAsia="仿宋_GB2312"/>
              </w:rPr>
              <w:t>供应商需针对本项目提供项目的主材清单（清单内容包括但不限于材料名称、品牌、规格、材质等）及主材检测报告、技术参数性能证明材料等资料，根据提供内容的完整程度进行综合评分： ①提供主材及清单内容完整齐全，技术参数性能完全满足采购人要求根据响应情况得9分； ②提供主材及清单内容基本齐全，技术参数性能基本满足采购人要求根据响应情况得5分； ③未提供得0分。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主材及型号表.docx</w:t>
            </w:r>
          </w:p>
        </w:tc>
      </w:tr>
      <w:tr>
        <w:tc>
          <w:tcPr>
            <w:tcW w:type="dxa" w:w="831"/>
            <w:vMerge/>
          </w:tcPr>
          <w:p/>
        </w:tc>
        <w:tc>
          <w:tcPr>
            <w:tcW w:type="dxa" w:w="1661"/>
          </w:tcPr>
          <w:p>
            <w:pPr>
              <w:pStyle w:val="null3"/>
            </w:pPr>
            <w:r>
              <w:rPr>
                <w:rFonts w:ascii="仿宋_GB2312" w:hAnsi="仿宋_GB2312" w:cs="仿宋_GB2312" w:eastAsia="仿宋_GB2312"/>
              </w:rPr>
              <w:t>供应商针对本项目在质量保修期内如出现质量问题的解决措施、解决问题的响应时效等进行说明。</w:t>
            </w:r>
          </w:p>
        </w:tc>
        <w:tc>
          <w:tcPr>
            <w:tcW w:type="dxa" w:w="2492"/>
          </w:tcPr>
          <w:p>
            <w:pPr>
              <w:pStyle w:val="null3"/>
            </w:pPr>
            <w:r>
              <w:rPr>
                <w:rFonts w:ascii="仿宋_GB2312" w:hAnsi="仿宋_GB2312" w:cs="仿宋_GB2312" w:eastAsia="仿宋_GB2312"/>
              </w:rPr>
              <w:t>①措施明确可行、响应时效迅速及时得5分； ②措施有缺失或可行性一般得3分； ③未提供不得分。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质量保修</w:t>
            </w:r>
          </w:p>
        </w:tc>
        <w:tc>
          <w:tcPr>
            <w:tcW w:type="dxa" w:w="2492"/>
          </w:tcPr>
          <w:p>
            <w:pPr>
              <w:pStyle w:val="null3"/>
            </w:pPr>
            <w:r>
              <w:rPr>
                <w:rFonts w:ascii="仿宋_GB2312" w:hAnsi="仿宋_GB2312" w:cs="仿宋_GB2312" w:eastAsia="仿宋_GB2312"/>
              </w:rPr>
              <w:t>供应商承诺在项目验收通过后，保修期在采购文件要求基础上，质保期每增加一年加 1分，最多3分。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工期</w:t>
            </w:r>
          </w:p>
        </w:tc>
        <w:tc>
          <w:tcPr>
            <w:tcW w:type="dxa" w:w="2492"/>
          </w:tcPr>
          <w:p>
            <w:pPr>
              <w:pStyle w:val="null3"/>
            </w:pPr>
            <w:r>
              <w:rPr>
                <w:rFonts w:ascii="仿宋_GB2312" w:hAnsi="仿宋_GB2312" w:cs="仿宋_GB2312" w:eastAsia="仿宋_GB2312"/>
              </w:rPr>
              <w:t>工期在磋商文件要求基础上，每缩减一天加 0.5分，最多3分。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①未提供方案得 0 分； ②方案不完整或部分合理的得2 分； ③针对本工程现场实际情况的方案完整、合理得3分；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①未提供方案得 0 分； ②方案不完整或部分合理的得 2 分； ③针对本工程现场实际情况的方案完整、合理得3分；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确保安全生产的技术组织措施（包括人员安全防控技术组织措施，包括但不限于以下内容：外来人员排查管理、现场安全作业封闭管理、应急措施等方面）</w:t>
            </w:r>
          </w:p>
        </w:tc>
        <w:tc>
          <w:tcPr>
            <w:tcW w:type="dxa" w:w="2492"/>
          </w:tcPr>
          <w:p>
            <w:pPr>
              <w:pStyle w:val="null3"/>
            </w:pPr>
            <w:r>
              <w:rPr>
                <w:rFonts w:ascii="仿宋_GB2312" w:hAnsi="仿宋_GB2312" w:cs="仿宋_GB2312" w:eastAsia="仿宋_GB2312"/>
              </w:rPr>
              <w:t>①未提供方案得 0 分； ②方案不完整或部分合理的得 1分； ③针对本工程现场实际情况的方案完整、合理得3分；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确保文明 施工的技术组织措施及环境保护措施</w:t>
            </w:r>
          </w:p>
        </w:tc>
        <w:tc>
          <w:tcPr>
            <w:tcW w:type="dxa" w:w="2492"/>
          </w:tcPr>
          <w:p>
            <w:pPr>
              <w:pStyle w:val="null3"/>
            </w:pPr>
            <w:r>
              <w:rPr>
                <w:rFonts w:ascii="仿宋_GB2312" w:hAnsi="仿宋_GB2312" w:cs="仿宋_GB2312" w:eastAsia="仿宋_GB2312"/>
              </w:rPr>
              <w:t>①未提供方案得 0 分； ②方案不完整或部分合理的得 1 分； ③针对本工程现场实际情况的方案完整、合理得3分；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①未提供方案得 0 分； ②方案不完整或部分合理的得 1 分； ③针对本工程现场实际情况的方案完整、合理得3分；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①未提供方案得 0 分； ②方案不完整或部分合理的得 1 分； ③针对本工程现场实际情况的方案完整、合理得3分；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拟投入设备、工具一览表.docx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 xml:space="preserve"> ①未提供方案得 0 分； ②方案不完整或部分合理的得 1 分； ③针对本工程现场实际情况的方案完整、合理得3分；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针对高校特点，为减少对校内科研及师生生活影响的施工举措</w:t>
            </w:r>
          </w:p>
        </w:tc>
        <w:tc>
          <w:tcPr>
            <w:tcW w:type="dxa" w:w="2492"/>
          </w:tcPr>
          <w:p>
            <w:pPr>
              <w:pStyle w:val="null3"/>
            </w:pPr>
            <w:r>
              <w:rPr>
                <w:rFonts w:ascii="仿宋_GB2312" w:hAnsi="仿宋_GB2312" w:cs="仿宋_GB2312" w:eastAsia="仿宋_GB2312"/>
              </w:rPr>
              <w:t>①未提供方案得0分； ②方案不完整或部分合理的得1分； ③针对本工程现场实际情况的方案完整、合理得3分；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项目进展情况汇报、沟通措施</w:t>
            </w:r>
          </w:p>
        </w:tc>
        <w:tc>
          <w:tcPr>
            <w:tcW w:type="dxa" w:w="2492"/>
          </w:tcPr>
          <w:p>
            <w:pPr>
              <w:pStyle w:val="null3"/>
            </w:pPr>
            <w:r>
              <w:rPr>
                <w:rFonts w:ascii="仿宋_GB2312" w:hAnsi="仿宋_GB2312" w:cs="仿宋_GB2312" w:eastAsia="仿宋_GB2312"/>
              </w:rPr>
              <w:t>①未提供方案得 0 分； ②方案不完整或部分合理的得 1 分； ③针对本工程现场实际情况的方案完整、合理得3分；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突发、应急事项处理举措</w:t>
            </w:r>
          </w:p>
        </w:tc>
        <w:tc>
          <w:tcPr>
            <w:tcW w:type="dxa" w:w="2492"/>
          </w:tcPr>
          <w:p>
            <w:pPr>
              <w:pStyle w:val="null3"/>
            </w:pPr>
            <w:r>
              <w:rPr>
                <w:rFonts w:ascii="仿宋_GB2312" w:hAnsi="仿宋_GB2312" w:cs="仿宋_GB2312" w:eastAsia="仿宋_GB2312"/>
              </w:rPr>
              <w:t>①未提供方案得 0 分； ②方案不完整或部分合理的得 1 分； ③针对本工程现场实际情况的方案完整、合理得4分；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及时有效响应甲方、监理方管理及监督的举措</w:t>
            </w:r>
          </w:p>
        </w:tc>
        <w:tc>
          <w:tcPr>
            <w:tcW w:type="dxa" w:w="2492"/>
          </w:tcPr>
          <w:p>
            <w:pPr>
              <w:pStyle w:val="null3"/>
            </w:pPr>
            <w:r>
              <w:rPr>
                <w:rFonts w:ascii="仿宋_GB2312" w:hAnsi="仿宋_GB2312" w:cs="仿宋_GB2312" w:eastAsia="仿宋_GB2312"/>
              </w:rPr>
              <w:t>①未提供方案得 0 分； ②方案不完整或部分合理的得 1 分； ③针对本工程现场实际情况的方案完整、合理得4分；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项目经理部人员组成</w:t>
            </w:r>
          </w:p>
        </w:tc>
        <w:tc>
          <w:tcPr>
            <w:tcW w:type="dxa" w:w="2492"/>
          </w:tcPr>
          <w:p>
            <w:pPr>
              <w:pStyle w:val="null3"/>
            </w:pPr>
            <w:r>
              <w:rPr>
                <w:rFonts w:ascii="仿宋_GB2312" w:hAnsi="仿宋_GB2312" w:cs="仿宋_GB2312" w:eastAsia="仿宋_GB2312"/>
              </w:rPr>
              <w:t>①未提供方案得 0 分； ②方案不完整或部分合理的得 1 分； ③方案完整、合理得4分；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参与本项目主要人员配备表.docx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满足磋商文件要求且最后磋商价格最低的磋商报价为磋商基准价，其价格分为满分。其他供应商的价格分统一按照下列公式计算：磋商报价得分=（磋商基准价/磋商报价）×30。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详见附件：参与本项目主要人员配备表.docx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详见附件：节能环保表.docx</w:t>
      </w:r>
    </w:p>
    <w:p>
      <w:pPr>
        <w:pStyle w:val="null3"/>
        <w:ind w:firstLine="960"/>
      </w:pPr>
      <w:r>
        <w:rPr>
          <w:rFonts w:ascii="仿宋_GB2312" w:hAnsi="仿宋_GB2312" w:cs="仿宋_GB2312" w:eastAsia="仿宋_GB2312"/>
        </w:rPr>
        <w:t>详见附件：拟投入设备、工具一览表.docx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详见附件：主材及型号表.docx</w:t>
      </w:r>
    </w:p>
    <w:p>
      <w:pPr>
        <w:pStyle w:val="null3"/>
        <w:ind w:firstLine="960"/>
      </w:pPr>
      <w:r>
        <w:rPr>
          <w:rFonts w:ascii="仿宋_GB2312" w:hAnsi="仿宋_GB2312" w:cs="仿宋_GB2312" w:eastAsia="仿宋_GB2312"/>
        </w:rPr>
        <w:t>详见附件：供应商为本项目提供的资格证明文件及其他.docx</w:t>
      </w:r>
    </w:p>
    <w:p>
      <w:pPr>
        <w:pStyle w:val="null3"/>
        <w:ind w:firstLine="960"/>
      </w:pPr>
      <w:r>
        <w:rPr>
          <w:rFonts w:ascii="仿宋_GB2312" w:hAnsi="仿宋_GB2312" w:cs="仿宋_GB2312" w:eastAsia="仿宋_GB2312"/>
        </w:rPr>
        <w:t>详见附件：需要落实的政府采购政策.docx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