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版本号：DRZB2025-ZC-13720250630001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县（区）无线电监测技术设施维护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DRZB2025-ZC-137</w:t>
      </w:r>
      <w:r>
        <w:br/>
      </w:r>
      <w:r>
        <w:br/>
      </w:r>
      <w:r>
        <w:br/>
      </w:r>
    </w:p>
    <w:p>
      <w:pPr>
        <w:pStyle w:val="null3"/>
        <w:jc w:val="center"/>
        <w:outlineLvl w:val="5"/>
      </w:pPr>
      <w:r>
        <w:rPr>
          <w:rFonts w:ascii="仿宋_GB2312" w:hAnsi="仿宋_GB2312" w:cs="仿宋_GB2312" w:eastAsia="仿宋_GB2312"/>
          <w:sz w:val="15"/>
          <w:b/>
        </w:rPr>
        <w:t>陕西省无线电管理委员会办公室咸阳市监测站</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陕西省无线电管理委员会办公室咸阳市监测站</w:t>
      </w:r>
      <w:r>
        <w:rPr>
          <w:rFonts w:ascii="仿宋_GB2312" w:hAnsi="仿宋_GB2312" w:cs="仿宋_GB2312" w:eastAsia="仿宋_GB2312"/>
        </w:rPr>
        <w:t>委托，拟对</w:t>
      </w:r>
      <w:r>
        <w:rPr>
          <w:rFonts w:ascii="仿宋_GB2312" w:hAnsi="仿宋_GB2312" w:cs="仿宋_GB2312" w:eastAsia="仿宋_GB2312"/>
        </w:rPr>
        <w:t>县（区）无线电监测技术设施维护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DRZB2025-ZC-137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县（区）无线电监测技术设施维护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县（区）无线电监测技术设施维护，具体内容详见采购文件及服务要求。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6、无重大违纪声明：参加本次政府采购活动前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7、法定代表人/负责人授权书：法定代表人/负责人直接参加协商的，须出具法定代表人/负责人身份证明书及身份证；授权代表参加协商的，须出具法定代表人/负责人授权书及授权代表身份证；</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10、非联合体协商：本项目不接受联合体响应。</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陕西省无线电管理委员会办公室咸阳市监测站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咸阳市秦都区中华路与长虹南路十字建研大厦A座16层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029-33343363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代理服务费收费标准：成交供应商在领取《成交通知书》之前，向采购代理机构一次付清招标代理服务费。本项目招标代理服务费按定额5000元收取。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陕西省无线电管理委员会办公室咸阳市监测站</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陕西省无线电管理委员会办公室咸阳市监测站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县（区）无线电监测技术设施维护，具体内容详见采购文件及服务要求。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县（区）无线电监测技术设施维护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标的名称：县（区）无线电监测技术设施维护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pPr>
            <w:r>
              <w:rPr>
                <w:rFonts w:ascii="仿宋_GB2312" w:hAnsi="仿宋_GB2312" w:cs="仿宋_GB2312" w:eastAsia="仿宋_GB2312"/>
              </w:rPr>
              <w:t>一、项目背景</w:t>
            </w:r>
          </w:p>
          <w:p>
            <w:pPr>
              <w:pStyle w:val="null3"/>
            </w:pPr>
            <w:r>
              <w:rPr>
                <w:rFonts w:ascii="仿宋_GB2312" w:hAnsi="仿宋_GB2312" w:cs="仿宋_GB2312" w:eastAsia="仿宋_GB2312"/>
              </w:rPr>
              <w:t>该项目是省无委会加强网络监测的重点建设项目，现有监测节点共计12个。用以监测辖区无线电频谱状况，为咸阳监测站无线电台站行政审批和干扰查处提供技术支持。</w:t>
            </w:r>
          </w:p>
          <w:p>
            <w:pPr>
              <w:pStyle w:val="null3"/>
            </w:pPr>
            <w:r>
              <w:rPr>
                <w:rFonts w:ascii="仿宋_GB2312" w:hAnsi="仿宋_GB2312" w:cs="仿宋_GB2312" w:eastAsia="仿宋_GB2312"/>
              </w:rPr>
              <w:t>二、设备参数</w:t>
            </w:r>
          </w:p>
          <w:p>
            <w:pPr>
              <w:pStyle w:val="null3"/>
            </w:pPr>
            <w:r>
              <w:rPr>
                <w:rFonts w:ascii="仿宋_GB2312" w:hAnsi="仿宋_GB2312" w:cs="仿宋_GB2312" w:eastAsia="仿宋_GB2312"/>
              </w:rPr>
              <w:t>安装设备包括主设备一套，安装于机房占用1个机位。天线一副，1根独立抱杆，天线安装于抱杆顶端。</w:t>
            </w:r>
          </w:p>
          <w:p>
            <w:pPr>
              <w:pStyle w:val="null3"/>
            </w:pPr>
            <w:r>
              <w:rPr>
                <w:rFonts w:ascii="仿宋_GB2312" w:hAnsi="仿宋_GB2312" w:cs="仿宋_GB2312" w:eastAsia="仿宋_GB2312"/>
              </w:rPr>
              <w:t>主设备长56cm，宽56cm，高61cm。另外含工控机、显示器、UPS电源、交换机等集成附件。以上设备全部安装于长60cm，宽80cm，高160cm的机柜内。供电：AC220V。功耗：500W。电池柜与机柜长宽一直，高度50cm。2个机位整体安装设备总重量约120KG。</w:t>
            </w:r>
          </w:p>
          <w:p>
            <w:pPr>
              <w:pStyle w:val="null3"/>
            </w:pPr>
            <w:r>
              <w:rPr>
                <w:rFonts w:ascii="仿宋_GB2312" w:hAnsi="仿宋_GB2312" w:cs="仿宋_GB2312" w:eastAsia="仿宋_GB2312"/>
              </w:rPr>
              <w:t>天线安装在楼顶，楼顶立杆安装，安装在立杆顶部避雷针保护范围内。天线尺寸为φ300mm×300mm。重量小于等于3KG。</w:t>
            </w:r>
          </w:p>
          <w:p>
            <w:pPr>
              <w:pStyle w:val="null3"/>
            </w:pPr>
            <w:r>
              <w:rPr>
                <w:rFonts w:ascii="仿宋_GB2312" w:hAnsi="仿宋_GB2312" w:cs="仿宋_GB2312" w:eastAsia="仿宋_GB2312"/>
              </w:rPr>
              <w:t>12处站点要有不小于100M带宽的通信光纤。</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1、咸阳市区县内提供12处铁塔及机房租赁服务，向采购方提供安装设备、天线所需空间，包括设备到天线间线缆的走线空间、安装维护空间。</w:t>
            </w:r>
          </w:p>
          <w:p>
            <w:pPr>
              <w:pStyle w:val="null3"/>
            </w:pPr>
            <w:r>
              <w:rPr>
                <w:rFonts w:ascii="仿宋_GB2312" w:hAnsi="仿宋_GB2312" w:cs="仿宋_GB2312" w:eastAsia="仿宋_GB2312"/>
              </w:rPr>
              <w:t>2、在设备所在机房内提供220V交流电源、稳定可靠的数字电路及空调服务。</w:t>
            </w:r>
          </w:p>
          <w:p>
            <w:pPr>
              <w:pStyle w:val="null3"/>
            </w:pPr>
            <w:r>
              <w:rPr>
                <w:rFonts w:ascii="仿宋_GB2312" w:hAnsi="仿宋_GB2312" w:cs="仿宋_GB2312" w:eastAsia="仿宋_GB2312"/>
              </w:rPr>
              <w:t>3、对设备安全巡检、设备环境清洁，提供物业协调服务，保证采购方使用过程顺利进行。</w:t>
            </w:r>
          </w:p>
          <w:p>
            <w:pPr>
              <w:pStyle w:val="null3"/>
            </w:pPr>
            <w:r>
              <w:rPr>
                <w:rFonts w:ascii="仿宋_GB2312" w:hAnsi="仿宋_GB2312" w:cs="仿宋_GB2312" w:eastAsia="仿宋_GB2312"/>
              </w:rPr>
              <w:t>4、基站机房出现断电、通信数字电路中断情况，应在3小时内修复，有特殊原因无法正常上站的根据实际情况而定。</w:t>
            </w:r>
          </w:p>
          <w:p>
            <w:pPr>
              <w:pStyle w:val="null3"/>
            </w:pPr>
            <w:r>
              <w:rPr>
                <w:rFonts w:ascii="仿宋_GB2312" w:hAnsi="仿宋_GB2312" w:cs="仿宋_GB2312" w:eastAsia="仿宋_GB2312"/>
              </w:rPr>
              <w:t>5、日常要积极配合设备厂家进行设备性能检修。</w:t>
            </w:r>
          </w:p>
          <w:p>
            <w:pPr>
              <w:pStyle w:val="null3"/>
            </w:pPr>
            <w:r>
              <w:rPr>
                <w:rFonts w:ascii="仿宋_GB2312" w:hAnsi="仿宋_GB2312" w:cs="仿宋_GB2312" w:eastAsia="仿宋_GB2312"/>
              </w:rPr>
              <w:t>四、选址要求</w:t>
            </w:r>
          </w:p>
          <w:p>
            <w:pPr>
              <w:pStyle w:val="null3"/>
            </w:pPr>
            <w:r>
              <w:rPr>
                <w:rFonts w:ascii="仿宋_GB2312" w:hAnsi="仿宋_GB2312" w:cs="仿宋_GB2312" w:eastAsia="仿宋_GB2312"/>
              </w:rPr>
              <w:t>1、选择范围为大站周边1-3公里范围内，3个小站方位夹角接近120°。</w:t>
            </w:r>
          </w:p>
          <w:p>
            <w:pPr>
              <w:pStyle w:val="null3"/>
            </w:pPr>
            <w:r>
              <w:rPr>
                <w:rFonts w:ascii="仿宋_GB2312" w:hAnsi="仿宋_GB2312" w:cs="仿宋_GB2312" w:eastAsia="仿宋_GB2312"/>
              </w:rPr>
              <w:t>2、备选小站必须为楼顶站点，且尽量为周边最高楼顶无明显遮挡。</w:t>
            </w:r>
          </w:p>
          <w:p>
            <w:pPr>
              <w:pStyle w:val="null3"/>
            </w:pPr>
            <w:r>
              <w:rPr>
                <w:rFonts w:ascii="仿宋_GB2312" w:hAnsi="仿宋_GB2312" w:cs="仿宋_GB2312" w:eastAsia="仿宋_GB2312"/>
              </w:rPr>
              <w:t>3、因要安装检查主设备柜，故要求站点必须有机房，不可选择室外柜。</w:t>
            </w:r>
          </w:p>
          <w:p>
            <w:pPr>
              <w:pStyle w:val="null3"/>
            </w:pPr>
            <w:r>
              <w:rPr>
                <w:rFonts w:ascii="仿宋_GB2312" w:hAnsi="仿宋_GB2312" w:cs="仿宋_GB2312" w:eastAsia="仿宋_GB2312"/>
              </w:rPr>
              <w:t>4、机房选择不可选择地下室机房，不可选择需爬天窗、爬梯或需要自带爬梯的机房，不可选择自建房、私宅等有拆迁风险的站址。</w:t>
            </w:r>
          </w:p>
          <w:p>
            <w:pPr>
              <w:pStyle w:val="null3"/>
            </w:pPr>
            <w:r>
              <w:rPr>
                <w:rFonts w:ascii="仿宋_GB2312" w:hAnsi="仿宋_GB2312" w:cs="仿宋_GB2312" w:eastAsia="仿宋_GB2312"/>
              </w:rPr>
              <w:t>五、站点列表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站点编号</w:t>
                  </w:r>
                </w:p>
              </w:tc>
              <w:tc>
                <w:tcPr>
                  <w:tcW w:type="dxa" w:w="511"/>
                </w:tcPr>
                <w:p>
                  <w:pPr>
                    <w:pStyle w:val="null3"/>
                  </w:pPr>
                  <w:r>
                    <w:rPr>
                      <w:rFonts w:ascii="仿宋_GB2312" w:hAnsi="仿宋_GB2312" w:cs="仿宋_GB2312" w:eastAsia="仿宋_GB2312"/>
                    </w:rPr>
                    <w:t>站名</w:t>
                  </w:r>
                </w:p>
              </w:tc>
              <w:tc>
                <w:tcPr>
                  <w:tcW w:type="dxa" w:w="511"/>
                </w:tcPr>
                <w:p>
                  <w:pPr>
                    <w:pStyle w:val="null3"/>
                  </w:pPr>
                  <w:r>
                    <w:rPr>
                      <w:rFonts w:ascii="仿宋_GB2312" w:hAnsi="仿宋_GB2312" w:cs="仿宋_GB2312" w:eastAsia="仿宋_GB2312"/>
                    </w:rPr>
                    <w:t>经度</w:t>
                  </w:r>
                </w:p>
              </w:tc>
              <w:tc>
                <w:tcPr>
                  <w:tcW w:type="dxa" w:w="511"/>
                </w:tcPr>
                <w:p>
                  <w:pPr>
                    <w:pStyle w:val="null3"/>
                  </w:pPr>
                  <w:r>
                    <w:rPr>
                      <w:rFonts w:ascii="仿宋_GB2312" w:hAnsi="仿宋_GB2312" w:cs="仿宋_GB2312" w:eastAsia="仿宋_GB2312"/>
                    </w:rPr>
                    <w:t>纬度</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610430908000000155</w:t>
                  </w:r>
                </w:p>
              </w:tc>
              <w:tc>
                <w:tcPr>
                  <w:tcW w:type="dxa" w:w="511"/>
                </w:tcPr>
                <w:p>
                  <w:pPr>
                    <w:pStyle w:val="null3"/>
                  </w:pPr>
                  <w:r>
                    <w:rPr>
                      <w:rFonts w:ascii="仿宋_GB2312" w:hAnsi="仿宋_GB2312" w:cs="仿宋_GB2312" w:eastAsia="仿宋_GB2312"/>
                    </w:rPr>
                    <w:t>淳化高家岭站点</w:t>
                  </w:r>
                </w:p>
              </w:tc>
              <w:tc>
                <w:tcPr>
                  <w:tcW w:type="dxa" w:w="511"/>
                </w:tcPr>
                <w:p>
                  <w:pPr>
                    <w:pStyle w:val="null3"/>
                  </w:pPr>
                  <w:r>
                    <w:rPr>
                      <w:rFonts w:ascii="仿宋_GB2312" w:hAnsi="仿宋_GB2312" w:cs="仿宋_GB2312" w:eastAsia="仿宋_GB2312"/>
                    </w:rPr>
                    <w:t>108.621399</w:t>
                  </w:r>
                </w:p>
              </w:tc>
              <w:tc>
                <w:tcPr>
                  <w:tcW w:type="dxa" w:w="511"/>
                </w:tcPr>
                <w:p>
                  <w:pPr>
                    <w:pStyle w:val="null3"/>
                  </w:pPr>
                  <w:r>
                    <w:rPr>
                      <w:rFonts w:ascii="仿宋_GB2312" w:hAnsi="仿宋_GB2312" w:cs="仿宋_GB2312" w:eastAsia="仿宋_GB2312"/>
                    </w:rPr>
                    <w:t>34.821098</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610429908000000092</w:t>
                  </w:r>
                </w:p>
              </w:tc>
              <w:tc>
                <w:tcPr>
                  <w:tcW w:type="dxa" w:w="511"/>
                </w:tcPr>
                <w:p>
                  <w:pPr>
                    <w:pStyle w:val="null3"/>
                  </w:pPr>
                  <w:r>
                    <w:rPr>
                      <w:rFonts w:ascii="仿宋_GB2312" w:hAnsi="仿宋_GB2312" w:cs="仿宋_GB2312" w:eastAsia="仿宋_GB2312"/>
                    </w:rPr>
                    <w:t>旬邑下源子站点</w:t>
                  </w:r>
                </w:p>
              </w:tc>
              <w:tc>
                <w:tcPr>
                  <w:tcW w:type="dxa" w:w="511"/>
                </w:tcPr>
                <w:p>
                  <w:pPr>
                    <w:pStyle w:val="null3"/>
                  </w:pPr>
                  <w:r>
                    <w:rPr>
                      <w:rFonts w:ascii="仿宋_GB2312" w:hAnsi="仿宋_GB2312" w:cs="仿宋_GB2312" w:eastAsia="仿宋_GB2312"/>
                    </w:rPr>
                    <w:t>108.324644</w:t>
                  </w:r>
                </w:p>
              </w:tc>
              <w:tc>
                <w:tcPr>
                  <w:tcW w:type="dxa" w:w="511"/>
                </w:tcPr>
                <w:p>
                  <w:pPr>
                    <w:pStyle w:val="null3"/>
                  </w:pPr>
                  <w:r>
                    <w:rPr>
                      <w:rFonts w:ascii="仿宋_GB2312" w:hAnsi="仿宋_GB2312" w:cs="仿宋_GB2312" w:eastAsia="仿宋_GB2312"/>
                    </w:rPr>
                    <w:t>35.139797</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61042501000072</w:t>
                  </w:r>
                </w:p>
              </w:tc>
              <w:tc>
                <w:tcPr>
                  <w:tcW w:type="dxa" w:w="511"/>
                </w:tcPr>
                <w:p>
                  <w:pPr>
                    <w:pStyle w:val="null3"/>
                  </w:pPr>
                  <w:r>
                    <w:rPr>
                      <w:rFonts w:ascii="仿宋_GB2312" w:hAnsi="仿宋_GB2312" w:cs="仿宋_GB2312" w:eastAsia="仿宋_GB2312"/>
                    </w:rPr>
                    <w:t>咸阳礼泉县东坪村综合机房</w:t>
                  </w:r>
                </w:p>
              </w:tc>
              <w:tc>
                <w:tcPr>
                  <w:tcW w:type="dxa" w:w="511"/>
                </w:tcPr>
                <w:p>
                  <w:pPr>
                    <w:pStyle w:val="null3"/>
                  </w:pPr>
                  <w:r>
                    <w:rPr>
                      <w:rFonts w:ascii="仿宋_GB2312" w:hAnsi="仿宋_GB2312" w:cs="仿宋_GB2312" w:eastAsia="仿宋_GB2312"/>
                    </w:rPr>
                    <w:t>108.497879</w:t>
                  </w:r>
                </w:p>
              </w:tc>
              <w:tc>
                <w:tcPr>
                  <w:tcW w:type="dxa" w:w="511"/>
                </w:tcPr>
                <w:p>
                  <w:pPr>
                    <w:pStyle w:val="null3"/>
                  </w:pPr>
                  <w:r>
                    <w:rPr>
                      <w:rFonts w:ascii="仿宋_GB2312" w:hAnsi="仿宋_GB2312" w:cs="仿宋_GB2312" w:eastAsia="仿宋_GB2312"/>
                    </w:rPr>
                    <w:t>34.626568</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610422908000000135</w:t>
                  </w:r>
                </w:p>
              </w:tc>
              <w:tc>
                <w:tcPr>
                  <w:tcW w:type="dxa" w:w="511"/>
                </w:tcPr>
                <w:p>
                  <w:pPr>
                    <w:pStyle w:val="null3"/>
                  </w:pPr>
                  <w:r>
                    <w:rPr>
                      <w:rFonts w:ascii="仿宋_GB2312" w:hAnsi="仿宋_GB2312" w:cs="仿宋_GB2312" w:eastAsia="仿宋_GB2312"/>
                    </w:rPr>
                    <w:t>三原鲁桥站点</w:t>
                  </w:r>
                </w:p>
              </w:tc>
              <w:tc>
                <w:tcPr>
                  <w:tcW w:type="dxa" w:w="511"/>
                </w:tcPr>
                <w:p>
                  <w:pPr>
                    <w:pStyle w:val="null3"/>
                  </w:pPr>
                  <w:r>
                    <w:rPr>
                      <w:rFonts w:ascii="仿宋_GB2312" w:hAnsi="仿宋_GB2312" w:cs="仿宋_GB2312" w:eastAsia="仿宋_GB2312"/>
                    </w:rPr>
                    <w:t>108.921941</w:t>
                  </w:r>
                </w:p>
              </w:tc>
              <w:tc>
                <w:tcPr>
                  <w:tcW w:type="dxa" w:w="511"/>
                </w:tcPr>
                <w:p>
                  <w:pPr>
                    <w:pStyle w:val="null3"/>
                  </w:pPr>
                  <w:r>
                    <w:rPr>
                      <w:rFonts w:ascii="仿宋_GB2312" w:hAnsi="仿宋_GB2312" w:cs="仿宋_GB2312" w:eastAsia="仿宋_GB2312"/>
                    </w:rPr>
                    <w:t>34.687498</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610427908000000352</w:t>
                  </w:r>
                </w:p>
              </w:tc>
              <w:tc>
                <w:tcPr>
                  <w:tcW w:type="dxa" w:w="511"/>
                </w:tcPr>
                <w:p>
                  <w:pPr>
                    <w:pStyle w:val="null3"/>
                  </w:pPr>
                  <w:r>
                    <w:rPr>
                      <w:rFonts w:ascii="仿宋_GB2312" w:hAnsi="仿宋_GB2312" w:cs="仿宋_GB2312" w:eastAsia="仿宋_GB2312"/>
                    </w:rPr>
                    <w:t>咸阳彬县明玉池综合机房</w:t>
                  </w:r>
                </w:p>
              </w:tc>
              <w:tc>
                <w:tcPr>
                  <w:tcW w:type="dxa" w:w="511"/>
                </w:tcPr>
                <w:p>
                  <w:pPr>
                    <w:pStyle w:val="null3"/>
                  </w:pPr>
                  <w:r>
                    <w:rPr>
                      <w:rFonts w:ascii="仿宋_GB2312" w:hAnsi="仿宋_GB2312" w:cs="仿宋_GB2312" w:eastAsia="仿宋_GB2312"/>
                    </w:rPr>
                    <w:t>108.112503</w:t>
                  </w:r>
                </w:p>
              </w:tc>
              <w:tc>
                <w:tcPr>
                  <w:tcW w:type="dxa" w:w="511"/>
                </w:tcPr>
                <w:p>
                  <w:pPr>
                    <w:pStyle w:val="null3"/>
                  </w:pPr>
                  <w:r>
                    <w:rPr>
                      <w:rFonts w:ascii="仿宋_GB2312" w:hAnsi="仿宋_GB2312" w:cs="仿宋_GB2312" w:eastAsia="仿宋_GB2312"/>
                    </w:rPr>
                    <w:t>35.018686</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610424908000000288</w:t>
                  </w:r>
                </w:p>
              </w:tc>
              <w:tc>
                <w:tcPr>
                  <w:tcW w:type="dxa" w:w="511"/>
                </w:tcPr>
                <w:p>
                  <w:pPr>
                    <w:pStyle w:val="null3"/>
                  </w:pPr>
                  <w:r>
                    <w:rPr>
                      <w:rFonts w:ascii="仿宋_GB2312" w:hAnsi="仿宋_GB2312" w:cs="仿宋_GB2312" w:eastAsia="仿宋_GB2312"/>
                    </w:rPr>
                    <w:t>咸阳乾县乾陵综合机房</w:t>
                  </w:r>
                </w:p>
              </w:tc>
              <w:tc>
                <w:tcPr>
                  <w:tcW w:type="dxa" w:w="511"/>
                </w:tcPr>
                <w:p>
                  <w:pPr>
                    <w:pStyle w:val="null3"/>
                  </w:pPr>
                  <w:r>
                    <w:rPr>
                      <w:rFonts w:ascii="仿宋_GB2312" w:hAnsi="仿宋_GB2312" w:cs="仿宋_GB2312" w:eastAsia="仿宋_GB2312"/>
                    </w:rPr>
                    <w:t>108.217185</w:t>
                  </w:r>
                </w:p>
              </w:tc>
              <w:tc>
                <w:tcPr>
                  <w:tcW w:type="dxa" w:w="511"/>
                </w:tcPr>
                <w:p>
                  <w:pPr>
                    <w:pStyle w:val="null3"/>
                  </w:pPr>
                  <w:r>
                    <w:rPr>
                      <w:rFonts w:ascii="仿宋_GB2312" w:hAnsi="仿宋_GB2312" w:cs="仿宋_GB2312" w:eastAsia="仿宋_GB2312"/>
                    </w:rPr>
                    <w:t>34.573336</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610431908000000186</w:t>
                  </w:r>
                </w:p>
              </w:tc>
              <w:tc>
                <w:tcPr>
                  <w:tcW w:type="dxa" w:w="511"/>
                </w:tcPr>
                <w:p>
                  <w:pPr>
                    <w:pStyle w:val="null3"/>
                  </w:pPr>
                  <w:r>
                    <w:rPr>
                      <w:rFonts w:ascii="仿宋_GB2312" w:hAnsi="仿宋_GB2312" w:cs="仿宋_GB2312" w:eastAsia="仿宋_GB2312"/>
                    </w:rPr>
                    <w:t>咸阳武功一综合机房</w:t>
                  </w:r>
                </w:p>
              </w:tc>
              <w:tc>
                <w:tcPr>
                  <w:tcW w:type="dxa" w:w="511"/>
                </w:tcPr>
                <w:p>
                  <w:pPr>
                    <w:pStyle w:val="null3"/>
                  </w:pPr>
                  <w:r>
                    <w:rPr>
                      <w:rFonts w:ascii="仿宋_GB2312" w:hAnsi="仿宋_GB2312" w:cs="仿宋_GB2312" w:eastAsia="仿宋_GB2312"/>
                    </w:rPr>
                    <w:t>108.195038</w:t>
                  </w:r>
                </w:p>
              </w:tc>
              <w:tc>
                <w:tcPr>
                  <w:tcW w:type="dxa" w:w="511"/>
                </w:tcPr>
                <w:p>
                  <w:pPr>
                    <w:pStyle w:val="null3"/>
                  </w:pPr>
                  <w:r>
                    <w:rPr>
                      <w:rFonts w:ascii="仿宋_GB2312" w:hAnsi="仿宋_GB2312" w:cs="仿宋_GB2312" w:eastAsia="仿宋_GB2312"/>
                    </w:rPr>
                    <w:t>34.261932</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610426908000000193</w:t>
                  </w:r>
                </w:p>
              </w:tc>
              <w:tc>
                <w:tcPr>
                  <w:tcW w:type="dxa" w:w="511"/>
                </w:tcPr>
                <w:p>
                  <w:pPr>
                    <w:pStyle w:val="null3"/>
                  </w:pPr>
                  <w:r>
                    <w:rPr>
                      <w:rFonts w:ascii="仿宋_GB2312" w:hAnsi="仿宋_GB2312" w:cs="仿宋_GB2312" w:eastAsia="仿宋_GB2312"/>
                    </w:rPr>
                    <w:t>咸阳永寿华城小区综合机房</w:t>
                  </w:r>
                </w:p>
              </w:tc>
              <w:tc>
                <w:tcPr>
                  <w:tcW w:type="dxa" w:w="511"/>
                </w:tcPr>
                <w:p>
                  <w:pPr>
                    <w:pStyle w:val="null3"/>
                  </w:pPr>
                  <w:r>
                    <w:rPr>
                      <w:rFonts w:ascii="仿宋_GB2312" w:hAnsi="仿宋_GB2312" w:cs="仿宋_GB2312" w:eastAsia="仿宋_GB2312"/>
                    </w:rPr>
                    <w:t>108.145805</w:t>
                  </w:r>
                </w:p>
              </w:tc>
              <w:tc>
                <w:tcPr>
                  <w:tcW w:type="dxa" w:w="511"/>
                </w:tcPr>
                <w:p>
                  <w:pPr>
                    <w:pStyle w:val="null3"/>
                  </w:pPr>
                  <w:r>
                    <w:rPr>
                      <w:rFonts w:ascii="仿宋_GB2312" w:hAnsi="仿宋_GB2312" w:cs="仿宋_GB2312" w:eastAsia="仿宋_GB2312"/>
                    </w:rPr>
                    <w:t>34.681056</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610428908000000132</w:t>
                  </w:r>
                </w:p>
              </w:tc>
              <w:tc>
                <w:tcPr>
                  <w:tcW w:type="dxa" w:w="511"/>
                </w:tcPr>
                <w:p>
                  <w:pPr>
                    <w:pStyle w:val="null3"/>
                  </w:pPr>
                  <w:r>
                    <w:rPr>
                      <w:rFonts w:ascii="仿宋_GB2312" w:hAnsi="仿宋_GB2312" w:cs="仿宋_GB2312" w:eastAsia="仿宋_GB2312"/>
                    </w:rPr>
                    <w:t>长武粮油厂站点</w:t>
                  </w:r>
                </w:p>
              </w:tc>
              <w:tc>
                <w:tcPr>
                  <w:tcW w:type="dxa" w:w="511"/>
                </w:tcPr>
                <w:p>
                  <w:pPr>
                    <w:pStyle w:val="null3"/>
                  </w:pPr>
                  <w:r>
                    <w:rPr>
                      <w:rFonts w:ascii="仿宋_GB2312" w:hAnsi="仿宋_GB2312" w:cs="仿宋_GB2312" w:eastAsia="仿宋_GB2312"/>
                    </w:rPr>
                    <w:t>107.787782</w:t>
                  </w:r>
                </w:p>
              </w:tc>
              <w:tc>
                <w:tcPr>
                  <w:tcW w:type="dxa" w:w="511"/>
                </w:tcPr>
                <w:p>
                  <w:pPr>
                    <w:pStyle w:val="null3"/>
                  </w:pPr>
                  <w:r>
                    <w:rPr>
                      <w:rFonts w:ascii="仿宋_GB2312" w:hAnsi="仿宋_GB2312" w:cs="仿宋_GB2312" w:eastAsia="仿宋_GB2312"/>
                    </w:rPr>
                    <w:t>35.202255</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610404908000000319</w:t>
                  </w:r>
                </w:p>
              </w:tc>
              <w:tc>
                <w:tcPr>
                  <w:tcW w:type="dxa" w:w="511"/>
                </w:tcPr>
                <w:p>
                  <w:pPr>
                    <w:pStyle w:val="null3"/>
                  </w:pPr>
                  <w:r>
                    <w:rPr>
                      <w:rFonts w:ascii="仿宋_GB2312" w:hAnsi="仿宋_GB2312" w:cs="仿宋_GB2312" w:eastAsia="仿宋_GB2312"/>
                    </w:rPr>
                    <w:t>咸阳渭城司家庄综合机房</w:t>
                  </w:r>
                </w:p>
              </w:tc>
              <w:tc>
                <w:tcPr>
                  <w:tcW w:type="dxa" w:w="511"/>
                </w:tcPr>
                <w:p>
                  <w:pPr>
                    <w:pStyle w:val="null3"/>
                  </w:pPr>
                  <w:r>
                    <w:rPr>
                      <w:rFonts w:ascii="仿宋_GB2312" w:hAnsi="仿宋_GB2312" w:cs="仿宋_GB2312" w:eastAsia="仿宋_GB2312"/>
                    </w:rPr>
                    <w:t>108.767627</w:t>
                  </w:r>
                </w:p>
              </w:tc>
              <w:tc>
                <w:tcPr>
                  <w:tcW w:type="dxa" w:w="511"/>
                </w:tcPr>
                <w:p>
                  <w:pPr>
                    <w:pStyle w:val="null3"/>
                  </w:pPr>
                  <w:r>
                    <w:rPr>
                      <w:rFonts w:ascii="仿宋_GB2312" w:hAnsi="仿宋_GB2312" w:cs="仿宋_GB2312" w:eastAsia="仿宋_GB2312"/>
                    </w:rPr>
                    <w:t>34.411776</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610481908000000056</w:t>
                  </w:r>
                </w:p>
              </w:tc>
              <w:tc>
                <w:tcPr>
                  <w:tcW w:type="dxa" w:w="511"/>
                </w:tcPr>
                <w:p>
                  <w:pPr>
                    <w:pStyle w:val="null3"/>
                  </w:pPr>
                  <w:r>
                    <w:rPr>
                      <w:rFonts w:ascii="仿宋_GB2312" w:hAnsi="仿宋_GB2312" w:cs="仿宋_GB2312" w:eastAsia="仿宋_GB2312"/>
                    </w:rPr>
                    <w:t>咸阳兴平丰仪新闫村综合机房</w:t>
                  </w:r>
                </w:p>
              </w:tc>
              <w:tc>
                <w:tcPr>
                  <w:tcW w:type="dxa" w:w="511"/>
                </w:tcPr>
                <w:p>
                  <w:pPr>
                    <w:pStyle w:val="null3"/>
                  </w:pPr>
                  <w:r>
                    <w:rPr>
                      <w:rFonts w:ascii="仿宋_GB2312" w:hAnsi="仿宋_GB2312" w:cs="仿宋_GB2312" w:eastAsia="仿宋_GB2312"/>
                    </w:rPr>
                    <w:t>108.404628</w:t>
                  </w:r>
                </w:p>
              </w:tc>
              <w:tc>
                <w:tcPr>
                  <w:tcW w:type="dxa" w:w="511"/>
                </w:tcPr>
                <w:p>
                  <w:pPr>
                    <w:pStyle w:val="null3"/>
                  </w:pPr>
                  <w:r>
                    <w:rPr>
                      <w:rFonts w:ascii="仿宋_GB2312" w:hAnsi="仿宋_GB2312" w:cs="仿宋_GB2312" w:eastAsia="仿宋_GB2312"/>
                    </w:rPr>
                    <w:t>34.273323</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610423908000000154</w:t>
                  </w:r>
                </w:p>
              </w:tc>
              <w:tc>
                <w:tcPr>
                  <w:tcW w:type="dxa" w:w="511"/>
                </w:tcPr>
                <w:p>
                  <w:pPr>
                    <w:pStyle w:val="null3"/>
                  </w:pPr>
                  <w:r>
                    <w:rPr>
                      <w:rFonts w:ascii="仿宋_GB2312" w:hAnsi="仿宋_GB2312" w:cs="仿宋_GB2312" w:eastAsia="仿宋_GB2312"/>
                    </w:rPr>
                    <w:t>咸阳泾阳城关镇建立村综合机房</w:t>
                  </w:r>
                </w:p>
              </w:tc>
              <w:tc>
                <w:tcPr>
                  <w:tcW w:type="dxa" w:w="511"/>
                </w:tcPr>
                <w:p>
                  <w:pPr>
                    <w:pStyle w:val="null3"/>
                  </w:pPr>
                  <w:r>
                    <w:rPr>
                      <w:rFonts w:ascii="仿宋_GB2312" w:hAnsi="仿宋_GB2312" w:cs="仿宋_GB2312" w:eastAsia="仿宋_GB2312"/>
                    </w:rPr>
                    <w:t>108.865097</w:t>
                  </w:r>
                </w:p>
              </w:tc>
              <w:tc>
                <w:tcPr>
                  <w:tcW w:type="dxa" w:w="511"/>
                </w:tcPr>
                <w:p>
                  <w:pPr>
                    <w:pStyle w:val="null3"/>
                  </w:pPr>
                  <w:r>
                    <w:rPr>
                      <w:rFonts w:ascii="仿宋_GB2312" w:hAnsi="仿宋_GB2312" w:cs="仿宋_GB2312" w:eastAsia="仿宋_GB2312"/>
                    </w:rPr>
                    <w:t>34.535198</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合同签订后，成交人按合同价开具全额发票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无重大违纪声明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法定代表人/负责人直接参加协商的，须出具法定代表人/负责人身份证明书及身份证；授权代表参加协商的，须出具法定代表人/负责人授权书及授权代表身份证；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资格证明文件.docx 服务偏离表.docx 供应商承诺书.docx 响应文件封面 分项报价表.docx 残疾人福利性单位声明函 业绩统计表.docx 标的清单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响应采购文件商务条款，无重大保留或偏差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服务偏离表.docx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资格证明文件.docx 服务偏离表.docx 供应商承诺书.docx 响应文件封面 分项报价表.docx 残疾人福利性单位声明函 业绩统计表.docx 标的清单 响应函 商务偏离表.docx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