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8D33C">
      <w:pPr>
        <w:shd w:val="clear" w:color="auto" w:fill="auto"/>
        <w:spacing w:line="360" w:lineRule="auto"/>
        <w:jc w:val="center"/>
        <w:outlineLvl w:val="0"/>
        <w:rPr>
          <w:rFonts w:eastAsia="仿宋"/>
          <w:color w:val="auto"/>
          <w:sz w:val="52"/>
          <w:szCs w:val="52"/>
          <w:highlight w:val="none"/>
        </w:rPr>
      </w:pPr>
      <w:r>
        <w:rPr>
          <w:rStyle w:val="9"/>
          <w:rFonts w:ascii="Times New Roman" w:eastAsia="仿宋"/>
          <w:b/>
          <w:bCs w:val="0"/>
          <w:color w:val="auto"/>
          <w:sz w:val="32"/>
          <w:szCs w:val="32"/>
          <w:highlight w:val="none"/>
        </w:rPr>
        <w:t>拟签订的合同</w:t>
      </w:r>
      <w:bookmarkStart w:id="0" w:name="_Hlt487972895"/>
      <w:bookmarkEnd w:id="0"/>
      <w:bookmarkStart w:id="1" w:name="_Toc216513788"/>
      <w:bookmarkStart w:id="2" w:name="_Toc487900382"/>
      <w:r>
        <w:rPr>
          <w:rStyle w:val="9"/>
          <w:rFonts w:ascii="Times New Roman" w:eastAsia="仿宋"/>
          <w:b/>
          <w:bCs w:val="0"/>
          <w:color w:val="auto"/>
          <w:sz w:val="32"/>
          <w:szCs w:val="32"/>
          <w:highlight w:val="none"/>
        </w:rPr>
        <w:t>文本</w:t>
      </w:r>
      <w:bookmarkEnd w:id="1"/>
      <w:bookmarkEnd w:id="2"/>
    </w:p>
    <w:p w14:paraId="398945A4">
      <w:pPr>
        <w:tabs>
          <w:tab w:val="left" w:pos="735"/>
        </w:tabs>
        <w:autoSpaceDE w:val="0"/>
        <w:autoSpaceDN w:val="0"/>
        <w:adjustRightInd w:val="0"/>
        <w:snapToGrid w:val="0"/>
        <w:spacing w:before="240" w:beforeLines="100" w:line="360" w:lineRule="auto"/>
        <w:rPr>
          <w:rFonts w:eastAsia="仿宋_GB2312"/>
          <w:b/>
          <w:bCs/>
          <w:color w:val="auto"/>
          <w:sz w:val="24"/>
          <w:highlight w:val="none"/>
          <w:lang w:val="zh-CN"/>
        </w:rPr>
      </w:pPr>
      <w:r>
        <w:rPr>
          <w:rFonts w:eastAsia="仿宋_GB2312"/>
          <w:b/>
          <w:bCs/>
          <w:color w:val="auto"/>
          <w:sz w:val="24"/>
          <w:highlight w:val="none"/>
          <w:lang w:val="zh-CN"/>
        </w:rPr>
        <w:t>甲方：</w:t>
      </w:r>
      <w:r>
        <w:rPr>
          <w:rFonts w:eastAsia="仿宋_GB2312"/>
          <w:bCs/>
          <w:color w:val="auto"/>
          <w:sz w:val="24"/>
          <w:highlight w:val="none"/>
          <w:lang w:val="zh-CN"/>
        </w:rPr>
        <w:t xml:space="preserve">（前款所称采购人）     </w:t>
      </w:r>
      <w:r>
        <w:rPr>
          <w:rFonts w:hint="eastAsia" w:eastAsia="仿宋_GB2312"/>
          <w:bCs/>
          <w:color w:val="auto"/>
          <w:sz w:val="24"/>
          <w:highlight w:val="none"/>
        </w:rPr>
        <w:t xml:space="preserve">    </w:t>
      </w:r>
      <w:r>
        <w:rPr>
          <w:rFonts w:eastAsia="仿宋_GB2312"/>
          <w:bCs/>
          <w:color w:val="auto"/>
          <w:sz w:val="24"/>
          <w:highlight w:val="none"/>
          <w:lang w:val="zh-CN"/>
        </w:rPr>
        <w:t>住所：</w:t>
      </w:r>
    </w:p>
    <w:p w14:paraId="2D5B655E">
      <w:pPr>
        <w:tabs>
          <w:tab w:val="left" w:pos="735"/>
        </w:tabs>
        <w:autoSpaceDE w:val="0"/>
        <w:autoSpaceDN w:val="0"/>
        <w:adjustRightInd w:val="0"/>
        <w:snapToGrid w:val="0"/>
        <w:spacing w:line="360" w:lineRule="auto"/>
        <w:rPr>
          <w:rFonts w:eastAsia="仿宋_GB2312"/>
          <w:bCs/>
          <w:color w:val="auto"/>
          <w:sz w:val="24"/>
          <w:highlight w:val="none"/>
          <w:lang w:val="zh-CN"/>
        </w:rPr>
      </w:pPr>
      <w:r>
        <w:rPr>
          <w:rFonts w:eastAsia="仿宋_GB2312"/>
          <w:b/>
          <w:bCs/>
          <w:color w:val="auto"/>
          <w:sz w:val="24"/>
          <w:highlight w:val="none"/>
          <w:lang w:val="zh-CN"/>
        </w:rPr>
        <w:t>乙方：</w:t>
      </w:r>
      <w:r>
        <w:rPr>
          <w:rFonts w:eastAsia="仿宋_GB2312"/>
          <w:bCs/>
          <w:color w:val="auto"/>
          <w:sz w:val="24"/>
          <w:highlight w:val="none"/>
          <w:lang w:val="zh-CN"/>
        </w:rPr>
        <w:t>（前款所称</w:t>
      </w:r>
      <w:r>
        <w:rPr>
          <w:rFonts w:hint="eastAsia" w:eastAsia="仿宋_GB2312"/>
          <w:bCs/>
          <w:color w:val="auto"/>
          <w:sz w:val="24"/>
          <w:highlight w:val="none"/>
        </w:rPr>
        <w:t>成交供应商</w:t>
      </w:r>
      <w:r>
        <w:rPr>
          <w:rFonts w:eastAsia="仿宋_GB2312"/>
          <w:bCs/>
          <w:color w:val="auto"/>
          <w:sz w:val="24"/>
          <w:highlight w:val="none"/>
          <w:lang w:val="zh-CN"/>
        </w:rPr>
        <w:t>）     住所：</w:t>
      </w:r>
    </w:p>
    <w:p w14:paraId="23B532FB">
      <w:pPr>
        <w:adjustRightInd w:val="0"/>
        <w:snapToGrid w:val="0"/>
        <w:spacing w:line="360" w:lineRule="auto"/>
        <w:ind w:firstLine="480" w:firstLineChars="200"/>
        <w:rPr>
          <w:rFonts w:eastAsia="仿宋_GB2312"/>
          <w:color w:val="auto"/>
          <w:sz w:val="24"/>
          <w:highlight w:val="none"/>
        </w:rPr>
      </w:pPr>
      <w:bookmarkStart w:id="3" w:name="_Toc19515384"/>
      <w:r>
        <w:rPr>
          <w:rFonts w:eastAsia="仿宋_GB2312"/>
          <w:color w:val="auto"/>
          <w:sz w:val="24"/>
          <w:highlight w:val="none"/>
        </w:rPr>
        <w:t>一、合同内容（标的、数量、质量等）</w:t>
      </w:r>
      <w:bookmarkEnd w:id="3"/>
      <w:r>
        <w:rPr>
          <w:rFonts w:hint="eastAsia" w:eastAsia="仿宋_GB2312"/>
          <w:color w:val="auto"/>
          <w:sz w:val="24"/>
          <w:highlight w:val="none"/>
        </w:rPr>
        <w:t>：</w:t>
      </w:r>
    </w:p>
    <w:p w14:paraId="0DB5D0F1">
      <w:pPr>
        <w:adjustRightInd w:val="0"/>
        <w:snapToGrid w:val="0"/>
        <w:spacing w:line="360" w:lineRule="auto"/>
        <w:ind w:firstLine="480" w:firstLineChars="200"/>
        <w:rPr>
          <w:rFonts w:eastAsia="仿宋_GB2312"/>
          <w:color w:val="auto"/>
          <w:sz w:val="24"/>
          <w:highlight w:val="none"/>
        </w:rPr>
      </w:pPr>
      <w:bookmarkStart w:id="4" w:name="_Toc19515385"/>
      <w:r>
        <w:rPr>
          <w:rFonts w:eastAsia="仿宋_GB2312"/>
          <w:color w:val="auto"/>
          <w:sz w:val="24"/>
          <w:highlight w:val="none"/>
        </w:rPr>
        <w:t>二、合同价款</w:t>
      </w:r>
      <w:bookmarkEnd w:id="4"/>
      <w:bookmarkStart w:id="13" w:name="_GoBack"/>
      <w:bookmarkEnd w:id="13"/>
    </w:p>
    <w:p w14:paraId="2F8E0CA5">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1、合同</w:t>
      </w:r>
      <w:r>
        <w:rPr>
          <w:rFonts w:hint="eastAsia" w:eastAsia="仿宋_GB2312"/>
          <w:color w:val="auto"/>
          <w:sz w:val="24"/>
          <w:highlight w:val="none"/>
          <w:lang w:val="en-US" w:eastAsia="zh-CN"/>
        </w:rPr>
        <w:t>价款</w:t>
      </w:r>
      <w:r>
        <w:rPr>
          <w:rFonts w:eastAsia="仿宋_GB2312"/>
          <w:color w:val="auto"/>
          <w:sz w:val="24"/>
          <w:highlight w:val="none"/>
        </w:rPr>
        <w:t>：</w:t>
      </w:r>
    </w:p>
    <w:p w14:paraId="358D84B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w:t>
      </w:r>
      <w:r>
        <w:rPr>
          <w:rFonts w:hint="eastAsia" w:eastAsia="仿宋_GB2312"/>
          <w:color w:val="auto"/>
          <w:sz w:val="24"/>
          <w:highlight w:val="none"/>
          <w:lang w:val="en-US" w:eastAsia="zh-CN"/>
        </w:rPr>
        <w:t>价款</w:t>
      </w:r>
      <w:r>
        <w:rPr>
          <w:rFonts w:eastAsia="仿宋_GB2312"/>
          <w:color w:val="auto"/>
          <w:sz w:val="24"/>
          <w:highlight w:val="none"/>
        </w:rPr>
        <w:t>包括：</w:t>
      </w:r>
      <w:r>
        <w:rPr>
          <w:rFonts w:hint="eastAsia" w:eastAsia="仿宋_GB2312"/>
          <w:color w:val="auto"/>
          <w:sz w:val="24"/>
          <w:highlight w:val="none"/>
          <w:lang w:val="en-US" w:eastAsia="zh-CN"/>
        </w:rPr>
        <w:t>包</w:t>
      </w:r>
      <w:r>
        <w:rPr>
          <w:rFonts w:hint="eastAsia" w:eastAsia="仿宋_GB2312"/>
          <w:color w:val="auto"/>
          <w:sz w:val="24"/>
          <w:highlight w:val="none"/>
        </w:rPr>
        <w:t>括完成本项目所需的直接费、间接费、利润、税金及其它相关的一切费用。包括但不限于：人工费、设备费、管理费、技术服务费、税金等全部费用。</w:t>
      </w:r>
    </w:p>
    <w:p w14:paraId="5E631CB1">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3、合同为固定</w:t>
      </w:r>
      <w:r>
        <w:rPr>
          <w:rFonts w:hint="eastAsia" w:eastAsia="仿宋_GB2312"/>
          <w:color w:val="auto"/>
          <w:sz w:val="24"/>
          <w:highlight w:val="none"/>
          <w:lang w:val="en-US" w:eastAsia="zh-CN"/>
        </w:rPr>
        <w:t>单价</w:t>
      </w:r>
      <w:r>
        <w:rPr>
          <w:rFonts w:eastAsia="仿宋_GB2312"/>
          <w:color w:val="auto"/>
          <w:sz w:val="24"/>
          <w:highlight w:val="none"/>
        </w:rPr>
        <w:t>合同，不受市场价变化的影响。</w:t>
      </w:r>
    </w:p>
    <w:p w14:paraId="2F6B5657">
      <w:pPr>
        <w:adjustRightInd w:val="0"/>
        <w:snapToGrid w:val="0"/>
        <w:spacing w:line="360" w:lineRule="auto"/>
        <w:ind w:firstLine="480" w:firstLineChars="200"/>
        <w:rPr>
          <w:rFonts w:eastAsia="仿宋_GB2312"/>
          <w:color w:val="auto"/>
          <w:sz w:val="24"/>
          <w:highlight w:val="none"/>
        </w:rPr>
      </w:pPr>
      <w:bookmarkStart w:id="5" w:name="_Toc19515386"/>
      <w:r>
        <w:rPr>
          <w:rFonts w:eastAsia="仿宋_GB2312"/>
          <w:color w:val="auto"/>
          <w:sz w:val="24"/>
          <w:highlight w:val="none"/>
        </w:rPr>
        <w:t>三、合同结算</w:t>
      </w:r>
      <w:bookmarkEnd w:id="5"/>
    </w:p>
    <w:p w14:paraId="77B291BC">
      <w:pPr>
        <w:adjustRightInd w:val="0"/>
        <w:snapToGrid w:val="0"/>
        <w:spacing w:line="360" w:lineRule="auto"/>
        <w:ind w:firstLine="480" w:firstLineChars="200"/>
        <w:rPr>
          <w:rFonts w:hint="default" w:eastAsia="仿宋_GB2312"/>
          <w:color w:val="auto"/>
          <w:sz w:val="24"/>
          <w:highlight w:val="none"/>
          <w:lang w:val="en-US" w:eastAsia="zh-CN"/>
        </w:rPr>
      </w:pPr>
      <w:bookmarkStart w:id="6" w:name="_Toc19515387"/>
      <w:r>
        <w:rPr>
          <w:rFonts w:eastAsia="仿宋_GB2312"/>
          <w:color w:val="auto"/>
          <w:sz w:val="24"/>
          <w:highlight w:val="none"/>
        </w:rPr>
        <w:t>1、付款比例：</w:t>
      </w:r>
      <w:r>
        <w:rPr>
          <w:rFonts w:hint="eastAsia" w:eastAsia="仿宋_GB2312"/>
          <w:color w:val="auto"/>
          <w:sz w:val="24"/>
          <w:highlight w:val="none"/>
          <w:lang w:val="en-US" w:eastAsia="zh-CN"/>
        </w:rPr>
        <w:t>合同签订后支付合同金额的40%，</w:t>
      </w:r>
      <w:r>
        <w:rPr>
          <w:rFonts w:hint="eastAsia" w:eastAsia="仿宋_GB2312"/>
          <w:color w:val="auto"/>
          <w:sz w:val="24"/>
          <w:highlight w:val="none"/>
        </w:rPr>
        <w:t>按采购人要求完成新就业形态劳动者的体检服务，经验收合格并开具等额增值税发票后，达到付款条件起</w:t>
      </w:r>
      <w:r>
        <w:rPr>
          <w:rFonts w:hint="eastAsia" w:eastAsia="仿宋_GB2312"/>
          <w:color w:val="auto"/>
          <w:sz w:val="24"/>
          <w:highlight w:val="none"/>
          <w:lang w:val="en-US" w:eastAsia="zh-CN"/>
        </w:rPr>
        <w:t>30</w:t>
      </w:r>
      <w:r>
        <w:rPr>
          <w:rFonts w:hint="eastAsia" w:eastAsia="仿宋_GB2312"/>
          <w:color w:val="auto"/>
          <w:sz w:val="24"/>
          <w:highlight w:val="none"/>
        </w:rPr>
        <w:t>日内，支付合同总金额的</w:t>
      </w:r>
      <w:r>
        <w:rPr>
          <w:rFonts w:hint="eastAsia" w:eastAsia="仿宋_GB2312"/>
          <w:color w:val="auto"/>
          <w:sz w:val="24"/>
          <w:highlight w:val="none"/>
          <w:lang w:val="en-US" w:eastAsia="zh-CN"/>
        </w:rPr>
        <w:t>60</w:t>
      </w:r>
      <w:r>
        <w:rPr>
          <w:rFonts w:hint="eastAsia" w:eastAsia="仿宋_GB2312"/>
          <w:color w:val="auto"/>
          <w:sz w:val="24"/>
          <w:highlight w:val="none"/>
        </w:rPr>
        <w:t>.00%</w:t>
      </w:r>
      <w:r>
        <w:rPr>
          <w:rFonts w:hint="eastAsia" w:eastAsia="仿宋_GB2312"/>
          <w:color w:val="auto"/>
          <w:sz w:val="24"/>
          <w:highlight w:val="none"/>
          <w:lang w:eastAsia="zh-CN"/>
        </w:rPr>
        <w:t>。</w:t>
      </w:r>
    </w:p>
    <w:p w14:paraId="1E38663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2、结算方式：银行转账。</w:t>
      </w:r>
    </w:p>
    <w:p w14:paraId="3ABDA54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3、结算单位：由</w:t>
      </w:r>
      <w:r>
        <w:rPr>
          <w:rFonts w:hint="eastAsia" w:eastAsia="仿宋_GB2312"/>
          <w:color w:val="auto"/>
          <w:sz w:val="24"/>
          <w:highlight w:val="none"/>
          <w:u w:val="single"/>
          <w:lang w:val="en-US" w:eastAsia="zh-CN"/>
        </w:rPr>
        <w:t>甲方</w:t>
      </w:r>
      <w:r>
        <w:rPr>
          <w:rFonts w:eastAsia="仿宋_GB2312"/>
          <w:color w:val="auto"/>
          <w:sz w:val="24"/>
          <w:highlight w:val="none"/>
        </w:rPr>
        <w:t>负责结算，乙方开具合同</w:t>
      </w:r>
      <w:r>
        <w:rPr>
          <w:rFonts w:hint="eastAsia" w:eastAsia="仿宋_GB2312"/>
          <w:color w:val="auto"/>
          <w:sz w:val="24"/>
          <w:highlight w:val="none"/>
          <w:lang w:val="en-US" w:eastAsia="zh-CN"/>
        </w:rPr>
        <w:t>价款</w:t>
      </w:r>
      <w:r>
        <w:rPr>
          <w:rFonts w:eastAsia="仿宋_GB2312"/>
          <w:color w:val="auto"/>
          <w:sz w:val="24"/>
          <w:highlight w:val="none"/>
        </w:rPr>
        <w:t>的全额发票交采购人。</w:t>
      </w:r>
    </w:p>
    <w:p w14:paraId="65C75597">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四、</w:t>
      </w:r>
      <w:r>
        <w:rPr>
          <w:rFonts w:hint="eastAsia" w:eastAsia="仿宋_GB2312"/>
          <w:color w:val="auto"/>
          <w:sz w:val="24"/>
          <w:highlight w:val="none"/>
          <w:lang w:val="en-US" w:eastAsia="zh-CN"/>
        </w:rPr>
        <w:t>服务</w:t>
      </w:r>
      <w:r>
        <w:rPr>
          <w:rFonts w:eastAsia="仿宋_GB2312"/>
          <w:color w:val="auto"/>
          <w:sz w:val="24"/>
          <w:highlight w:val="none"/>
        </w:rPr>
        <w:t>期、地点</w:t>
      </w:r>
      <w:bookmarkEnd w:id="6"/>
      <w:r>
        <w:rPr>
          <w:rFonts w:hint="eastAsia" w:eastAsia="仿宋_GB2312"/>
          <w:color w:val="auto"/>
          <w:sz w:val="24"/>
          <w:highlight w:val="none"/>
        </w:rPr>
        <w:t>：</w:t>
      </w:r>
    </w:p>
    <w:p w14:paraId="62BA972E">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lang w:val="en-US" w:eastAsia="zh-CN"/>
        </w:rPr>
        <w:t>服务</w:t>
      </w:r>
      <w:r>
        <w:rPr>
          <w:rFonts w:eastAsia="仿宋_GB2312"/>
          <w:color w:val="auto"/>
          <w:sz w:val="24"/>
          <w:highlight w:val="none"/>
        </w:rPr>
        <w:t>期：</w:t>
      </w:r>
      <w:r>
        <w:rPr>
          <w:rFonts w:hint="eastAsia" w:eastAsia="仿宋_GB2312"/>
          <w:color w:val="auto"/>
          <w:sz w:val="24"/>
          <w:highlight w:val="none"/>
        </w:rPr>
        <w:t>自合同签订之日起</w:t>
      </w:r>
      <w:r>
        <w:rPr>
          <w:rFonts w:hint="eastAsia" w:eastAsia="仿宋_GB2312"/>
          <w:color w:val="auto"/>
          <w:sz w:val="24"/>
          <w:highlight w:val="none"/>
          <w:lang w:val="en-US" w:eastAsia="zh-CN"/>
        </w:rPr>
        <w:t>90</w:t>
      </w:r>
      <w:r>
        <w:rPr>
          <w:rFonts w:hint="eastAsia" w:eastAsia="仿宋_GB2312"/>
          <w:color w:val="auto"/>
          <w:sz w:val="24"/>
          <w:highlight w:val="none"/>
        </w:rPr>
        <w:t>个日历日内，完成所有体检服务任务并出具正式的检测报告。</w:t>
      </w:r>
    </w:p>
    <w:p w14:paraId="7CE4F7AB">
      <w:pPr>
        <w:adjustRightInd w:val="0"/>
        <w:snapToGrid w:val="0"/>
        <w:spacing w:line="360" w:lineRule="auto"/>
        <w:ind w:firstLine="480" w:firstLineChars="200"/>
        <w:rPr>
          <w:rFonts w:hint="default" w:eastAsia="仿宋_GB2312"/>
          <w:color w:val="auto"/>
          <w:sz w:val="24"/>
          <w:highlight w:val="none"/>
          <w:lang w:val="en-US" w:eastAsia="zh-CN"/>
        </w:rPr>
      </w:pPr>
      <w:r>
        <w:rPr>
          <w:rFonts w:eastAsia="仿宋_GB2312"/>
          <w:color w:val="auto"/>
          <w:sz w:val="24"/>
          <w:highlight w:val="none"/>
        </w:rPr>
        <w:t>2、</w:t>
      </w:r>
      <w:r>
        <w:rPr>
          <w:rFonts w:hint="eastAsia" w:eastAsia="仿宋_GB2312"/>
          <w:color w:val="auto"/>
          <w:sz w:val="24"/>
          <w:highlight w:val="none"/>
          <w:lang w:val="en-US" w:eastAsia="zh-CN"/>
        </w:rPr>
        <w:t>服务</w:t>
      </w:r>
      <w:r>
        <w:rPr>
          <w:rFonts w:eastAsia="仿宋_GB2312"/>
          <w:color w:val="auto"/>
          <w:sz w:val="24"/>
          <w:highlight w:val="none"/>
        </w:rPr>
        <w:t>地点：</w:t>
      </w:r>
      <w:r>
        <w:rPr>
          <w:rFonts w:hint="eastAsia" w:eastAsia="仿宋_GB2312"/>
          <w:color w:val="auto"/>
          <w:sz w:val="24"/>
          <w:highlight w:val="none"/>
          <w:lang w:val="en-US" w:eastAsia="zh-CN"/>
        </w:rPr>
        <w:t>采购人指定地点。</w:t>
      </w:r>
    </w:p>
    <w:p w14:paraId="35FFD8B5">
      <w:pPr>
        <w:adjustRightInd w:val="0"/>
        <w:snapToGrid w:val="0"/>
        <w:spacing w:line="360" w:lineRule="auto"/>
        <w:ind w:firstLine="480" w:firstLineChars="200"/>
        <w:rPr>
          <w:rFonts w:eastAsia="仿宋_GB2312"/>
          <w:color w:val="auto"/>
          <w:sz w:val="24"/>
          <w:highlight w:val="none"/>
        </w:rPr>
      </w:pPr>
      <w:bookmarkStart w:id="7" w:name="_Toc19515390"/>
      <w:r>
        <w:rPr>
          <w:rFonts w:eastAsia="仿宋_GB2312"/>
          <w:color w:val="auto"/>
          <w:sz w:val="24"/>
          <w:highlight w:val="none"/>
        </w:rPr>
        <w:t>五、技术服务</w:t>
      </w:r>
      <w:bookmarkEnd w:id="7"/>
    </w:p>
    <w:p w14:paraId="54093D03">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1、对技术服务的要求：</w:t>
      </w:r>
    </w:p>
    <w:p w14:paraId="0F63256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2、技术资料：</w:t>
      </w:r>
    </w:p>
    <w:p w14:paraId="05B0DC8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3、技术培训：</w:t>
      </w:r>
    </w:p>
    <w:p w14:paraId="4FA21E4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4、售后服务</w:t>
      </w:r>
    </w:p>
    <w:p w14:paraId="1C96B880">
      <w:pPr>
        <w:adjustRightInd w:val="0"/>
        <w:snapToGrid w:val="0"/>
        <w:spacing w:line="360" w:lineRule="auto"/>
        <w:ind w:firstLine="480" w:firstLineChars="200"/>
        <w:rPr>
          <w:rFonts w:eastAsia="仿宋_GB2312"/>
          <w:color w:val="auto"/>
          <w:sz w:val="24"/>
          <w:highlight w:val="none"/>
        </w:rPr>
      </w:pPr>
      <w:bookmarkStart w:id="8" w:name="_Toc19515391"/>
      <w:r>
        <w:rPr>
          <w:rFonts w:eastAsia="仿宋_GB2312"/>
          <w:color w:val="auto"/>
          <w:sz w:val="24"/>
          <w:highlight w:val="none"/>
        </w:rPr>
        <w:t>六、验收</w:t>
      </w:r>
      <w:bookmarkEnd w:id="8"/>
    </w:p>
    <w:p w14:paraId="3AA002D6">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1、验收：乙方完成服务内容后，向甲方提出验收申请，甲方接到乙方验收申请后组织验收，验收合格后，出具使用验收合格证明。</w:t>
      </w:r>
    </w:p>
    <w:p w14:paraId="44FAE31A">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rPr>
        <w:t>2</w:t>
      </w:r>
      <w:r>
        <w:rPr>
          <w:rFonts w:eastAsia="仿宋_GB2312"/>
          <w:color w:val="auto"/>
          <w:sz w:val="24"/>
          <w:highlight w:val="none"/>
        </w:rPr>
        <w:t>、最终验收：最终验收结果作为付款依据，乙方填写验收单，并向甲方提交实施过程中的所有资料，以便甲方日后管理和维护。</w:t>
      </w:r>
    </w:p>
    <w:p w14:paraId="6863BAAD">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3</w:t>
      </w:r>
      <w:r>
        <w:rPr>
          <w:rFonts w:eastAsia="仿宋_GB2312"/>
          <w:color w:val="auto"/>
          <w:sz w:val="24"/>
          <w:highlight w:val="none"/>
        </w:rPr>
        <w:t>、验收依据：</w:t>
      </w:r>
    </w:p>
    <w:p w14:paraId="609E62AD">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3</w:t>
      </w:r>
      <w:r>
        <w:rPr>
          <w:rFonts w:eastAsia="仿宋_GB2312"/>
          <w:color w:val="auto"/>
          <w:sz w:val="24"/>
          <w:highlight w:val="none"/>
        </w:rPr>
        <w:t>-1、合同文本、合同附件、</w:t>
      </w:r>
      <w:r>
        <w:rPr>
          <w:rFonts w:hint="eastAsia" w:eastAsia="仿宋_GB2312"/>
          <w:color w:val="auto"/>
          <w:sz w:val="24"/>
          <w:highlight w:val="none"/>
        </w:rPr>
        <w:t>竞争性磋商文件</w:t>
      </w:r>
      <w:r>
        <w:rPr>
          <w:rFonts w:eastAsia="仿宋_GB2312"/>
          <w:color w:val="auto"/>
          <w:sz w:val="24"/>
          <w:highlight w:val="none"/>
        </w:rPr>
        <w:t>、</w:t>
      </w:r>
      <w:r>
        <w:rPr>
          <w:rFonts w:hint="eastAsia" w:eastAsia="仿宋_GB2312"/>
          <w:color w:val="auto"/>
          <w:sz w:val="24"/>
          <w:highlight w:val="none"/>
        </w:rPr>
        <w:t>成交供应商的响应文件</w:t>
      </w:r>
      <w:r>
        <w:rPr>
          <w:rFonts w:eastAsia="仿宋_GB2312"/>
          <w:color w:val="auto"/>
          <w:sz w:val="24"/>
          <w:highlight w:val="none"/>
        </w:rPr>
        <w:t>。</w:t>
      </w:r>
    </w:p>
    <w:p w14:paraId="074437B8">
      <w:pPr>
        <w:adjustRightInd w:val="0"/>
        <w:snapToGrid w:val="0"/>
        <w:spacing w:line="360" w:lineRule="auto"/>
        <w:ind w:firstLine="480" w:firstLineChars="200"/>
        <w:rPr>
          <w:rFonts w:eastAsia="仿宋_GB2312"/>
          <w:color w:val="auto"/>
          <w:sz w:val="24"/>
          <w:highlight w:val="none"/>
        </w:rPr>
      </w:pPr>
      <w:r>
        <w:rPr>
          <w:rFonts w:hint="eastAsia" w:eastAsia="仿宋_GB2312"/>
          <w:color w:val="auto"/>
          <w:sz w:val="24"/>
          <w:highlight w:val="none"/>
          <w:lang w:val="en-US" w:eastAsia="zh-CN"/>
        </w:rPr>
        <w:t>3</w:t>
      </w:r>
      <w:r>
        <w:rPr>
          <w:rFonts w:eastAsia="仿宋_GB2312"/>
          <w:color w:val="auto"/>
          <w:sz w:val="24"/>
          <w:highlight w:val="none"/>
        </w:rPr>
        <w:t>-2、国内相应的标准、规范。</w:t>
      </w:r>
    </w:p>
    <w:p w14:paraId="73D34FF0">
      <w:pPr>
        <w:adjustRightInd w:val="0"/>
        <w:snapToGrid w:val="0"/>
        <w:spacing w:line="360" w:lineRule="auto"/>
        <w:ind w:firstLine="480" w:firstLineChars="200"/>
        <w:rPr>
          <w:rFonts w:eastAsia="仿宋_GB2312"/>
          <w:color w:val="auto"/>
          <w:sz w:val="24"/>
          <w:highlight w:val="none"/>
        </w:rPr>
      </w:pPr>
      <w:bookmarkStart w:id="9" w:name="_Toc19515392"/>
      <w:r>
        <w:rPr>
          <w:rFonts w:hint="eastAsia" w:eastAsia="仿宋_GB2312"/>
          <w:color w:val="auto"/>
          <w:sz w:val="24"/>
          <w:highlight w:val="none"/>
          <w:lang w:val="en-US" w:eastAsia="zh-CN"/>
        </w:rPr>
        <w:t>七</w:t>
      </w:r>
      <w:r>
        <w:rPr>
          <w:rFonts w:eastAsia="仿宋_GB2312"/>
          <w:color w:val="auto"/>
          <w:sz w:val="24"/>
          <w:highlight w:val="none"/>
        </w:rPr>
        <w:t>、违约责任</w:t>
      </w:r>
      <w:bookmarkEnd w:id="9"/>
    </w:p>
    <w:p w14:paraId="4338EC9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1、按《中华人民共和国民法典》中的相关条款执行。</w:t>
      </w:r>
    </w:p>
    <w:p w14:paraId="2FD5C13A">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2、乙方履约延误</w:t>
      </w:r>
    </w:p>
    <w:p w14:paraId="44B477CB">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2-1、如乙方事先未征得甲方同意并得到甲方的谅解而单方面延迟执行合同，将按违约终止合同。</w:t>
      </w:r>
    </w:p>
    <w:p w14:paraId="0E1468A5">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1730B6C1">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3、违约终止合同：未按合同要求提供服务或不能满足技术要求，甲方会同监督机构有权终止合同，对乙方违约行为进行追究，同时按政府采购法的有关规定进行相应的处罚。</w:t>
      </w:r>
    </w:p>
    <w:p w14:paraId="423055C0">
      <w:pPr>
        <w:adjustRightInd w:val="0"/>
        <w:snapToGrid w:val="0"/>
        <w:spacing w:line="360" w:lineRule="auto"/>
        <w:ind w:firstLine="480" w:firstLineChars="200"/>
        <w:rPr>
          <w:rFonts w:eastAsia="仿宋_GB2312"/>
          <w:color w:val="auto"/>
          <w:sz w:val="24"/>
          <w:highlight w:val="none"/>
        </w:rPr>
      </w:pPr>
      <w:bookmarkStart w:id="10" w:name="_Toc19515393"/>
      <w:r>
        <w:rPr>
          <w:rFonts w:hint="eastAsia" w:eastAsia="仿宋_GB2312"/>
          <w:color w:val="auto"/>
          <w:sz w:val="24"/>
          <w:highlight w:val="none"/>
          <w:lang w:val="en-US" w:eastAsia="zh-CN"/>
        </w:rPr>
        <w:t>八</w:t>
      </w:r>
      <w:r>
        <w:rPr>
          <w:rFonts w:eastAsia="仿宋_GB2312"/>
          <w:color w:val="auto"/>
          <w:sz w:val="24"/>
          <w:highlight w:val="none"/>
        </w:rPr>
        <w:t>、合同组成</w:t>
      </w:r>
      <w:bookmarkEnd w:id="10"/>
    </w:p>
    <w:p w14:paraId="05EBC371">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1、</w:t>
      </w:r>
      <w:r>
        <w:rPr>
          <w:rFonts w:hint="eastAsia" w:eastAsia="仿宋_GB2312"/>
          <w:color w:val="auto"/>
          <w:sz w:val="24"/>
          <w:highlight w:val="none"/>
        </w:rPr>
        <w:t>成交</w:t>
      </w:r>
      <w:r>
        <w:rPr>
          <w:rFonts w:eastAsia="仿宋_GB2312"/>
          <w:color w:val="auto"/>
          <w:sz w:val="24"/>
          <w:highlight w:val="none"/>
        </w:rPr>
        <w:t>通知书</w:t>
      </w:r>
    </w:p>
    <w:p w14:paraId="2AA27128">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2、合同文件</w:t>
      </w:r>
    </w:p>
    <w:p w14:paraId="442EE104">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3、国家相关规范及标准</w:t>
      </w:r>
    </w:p>
    <w:p w14:paraId="44D88F7C">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4、</w:t>
      </w:r>
      <w:r>
        <w:rPr>
          <w:rFonts w:hint="eastAsia" w:eastAsia="仿宋_GB2312"/>
          <w:color w:val="auto"/>
          <w:sz w:val="24"/>
          <w:highlight w:val="none"/>
        </w:rPr>
        <w:t>竞争性磋商文件</w:t>
      </w:r>
    </w:p>
    <w:p w14:paraId="0377E300">
      <w:pPr>
        <w:adjustRightInd w:val="0"/>
        <w:snapToGrid w:val="0"/>
        <w:spacing w:line="360" w:lineRule="auto"/>
        <w:ind w:firstLine="480" w:firstLineChars="200"/>
        <w:rPr>
          <w:rFonts w:eastAsia="仿宋_GB2312"/>
          <w:color w:val="auto"/>
          <w:sz w:val="24"/>
          <w:highlight w:val="none"/>
        </w:rPr>
      </w:pPr>
      <w:r>
        <w:rPr>
          <w:rFonts w:eastAsia="仿宋_GB2312"/>
          <w:color w:val="auto"/>
          <w:sz w:val="24"/>
          <w:highlight w:val="none"/>
        </w:rPr>
        <w:t>5、</w:t>
      </w:r>
      <w:r>
        <w:rPr>
          <w:rFonts w:hint="eastAsia" w:eastAsia="仿宋_GB2312"/>
          <w:color w:val="auto"/>
          <w:sz w:val="24"/>
          <w:highlight w:val="none"/>
        </w:rPr>
        <w:t>成交供应商的响应</w:t>
      </w:r>
      <w:r>
        <w:rPr>
          <w:rFonts w:eastAsia="仿宋_GB2312"/>
          <w:color w:val="auto"/>
          <w:sz w:val="24"/>
          <w:highlight w:val="none"/>
        </w:rPr>
        <w:t>文件</w:t>
      </w:r>
    </w:p>
    <w:p w14:paraId="000BC4A3">
      <w:pPr>
        <w:adjustRightInd w:val="0"/>
        <w:snapToGrid w:val="0"/>
        <w:spacing w:line="360" w:lineRule="auto"/>
        <w:ind w:firstLine="480" w:firstLineChars="200"/>
        <w:rPr>
          <w:rFonts w:eastAsia="仿宋_GB2312"/>
          <w:color w:val="auto"/>
          <w:sz w:val="24"/>
          <w:highlight w:val="none"/>
        </w:rPr>
      </w:pPr>
      <w:bookmarkStart w:id="11" w:name="_Toc19515394"/>
      <w:r>
        <w:rPr>
          <w:rFonts w:hint="eastAsia" w:eastAsia="仿宋_GB2312"/>
          <w:color w:val="auto"/>
          <w:sz w:val="24"/>
          <w:highlight w:val="none"/>
          <w:lang w:val="en-US" w:eastAsia="zh-CN"/>
        </w:rPr>
        <w:t>九</w:t>
      </w:r>
      <w:r>
        <w:rPr>
          <w:rFonts w:eastAsia="仿宋_GB2312"/>
          <w:color w:val="auto"/>
          <w:sz w:val="24"/>
          <w:highlight w:val="none"/>
        </w:rPr>
        <w:t>、解决争议的方法</w:t>
      </w:r>
      <w:bookmarkEnd w:id="11"/>
    </w:p>
    <w:p w14:paraId="686C698C">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凡因本合同引起的或与本合同有关的争议，双方应友好协商解决。协商不成时，双方均同意采用以下第（  ）种争议解决方式：</w:t>
      </w:r>
    </w:p>
    <w:p w14:paraId="2FE3F710">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1</w:t>
      </w:r>
      <w:r>
        <w:rPr>
          <w:rFonts w:eastAsia="仿宋_GB2312"/>
          <w:color w:val="auto"/>
          <w:kern w:val="0"/>
          <w:sz w:val="24"/>
          <w:highlight w:val="none"/>
        </w:rPr>
        <w:t>、甲、乙双方均同意向（甲方所在地人民法院）提起诉讼。</w:t>
      </w:r>
    </w:p>
    <w:p w14:paraId="0401A7AB">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hint="eastAsia" w:eastAsia="仿宋_GB2312"/>
          <w:color w:val="auto"/>
          <w:kern w:val="0"/>
          <w:sz w:val="24"/>
          <w:highlight w:val="none"/>
        </w:rPr>
        <w:t>2</w:t>
      </w:r>
      <w:r>
        <w:rPr>
          <w:rFonts w:eastAsia="仿宋_GB2312"/>
          <w:color w:val="auto"/>
          <w:kern w:val="0"/>
          <w:sz w:val="24"/>
          <w:highlight w:val="none"/>
        </w:rPr>
        <w:t>、甲、乙双方均同意向（</w:t>
      </w:r>
      <w:r>
        <w:rPr>
          <w:color w:val="auto"/>
          <w:highlight w:val="none"/>
        </w:rPr>
        <w:fldChar w:fldCharType="begin"/>
      </w:r>
      <w:r>
        <w:rPr>
          <w:color w:val="auto"/>
          <w:highlight w:val="none"/>
        </w:rPr>
        <w:instrText xml:space="preserve"> HYPERLINK "http://www.baidu.com/s?wd=%E4%BB%B2%E8%A3%81%E5%A7%94%E5%91%98%E4%BC%9A&amp;tn=SE_PcZhidaonwhc_ngpagmjz&amp;rsv_dl=gh_pc_zhidao" \t "_blank" </w:instrText>
      </w:r>
      <w:r>
        <w:rPr>
          <w:color w:val="auto"/>
          <w:highlight w:val="none"/>
        </w:rPr>
        <w:fldChar w:fldCharType="separate"/>
      </w:r>
      <w:r>
        <w:rPr>
          <w:rFonts w:eastAsia="仿宋_GB2312"/>
          <w:color w:val="auto"/>
          <w:kern w:val="0"/>
          <w:sz w:val="24"/>
          <w:highlight w:val="none"/>
        </w:rPr>
        <w:t>仲裁委员会</w:t>
      </w:r>
      <w:r>
        <w:rPr>
          <w:rFonts w:eastAsia="仿宋_GB2312"/>
          <w:color w:val="auto"/>
          <w:kern w:val="0"/>
          <w:sz w:val="24"/>
          <w:highlight w:val="none"/>
        </w:rPr>
        <w:fldChar w:fldCharType="end"/>
      </w:r>
      <w:r>
        <w:rPr>
          <w:rFonts w:eastAsia="仿宋_GB2312"/>
          <w:color w:val="auto"/>
          <w:kern w:val="0"/>
          <w:sz w:val="24"/>
          <w:highlight w:val="none"/>
        </w:rPr>
        <w:t>）提起仲裁。</w:t>
      </w:r>
    </w:p>
    <w:p w14:paraId="707E6D27">
      <w:pPr>
        <w:adjustRightInd w:val="0"/>
        <w:snapToGrid w:val="0"/>
        <w:spacing w:line="360" w:lineRule="auto"/>
        <w:ind w:firstLine="480" w:firstLineChars="200"/>
        <w:rPr>
          <w:rFonts w:eastAsia="仿宋_GB2312"/>
          <w:color w:val="auto"/>
          <w:sz w:val="24"/>
          <w:highlight w:val="none"/>
        </w:rPr>
      </w:pPr>
      <w:bookmarkStart w:id="12" w:name="_Toc19515395"/>
      <w:r>
        <w:rPr>
          <w:rFonts w:eastAsia="仿宋_GB2312"/>
          <w:color w:val="auto"/>
          <w:sz w:val="24"/>
          <w:highlight w:val="none"/>
        </w:rPr>
        <w:t>十、合同生效及其它</w:t>
      </w:r>
      <w:bookmarkEnd w:id="12"/>
    </w:p>
    <w:p w14:paraId="7703462A">
      <w:pPr>
        <w:widowControl/>
        <w:autoSpaceDE w:val="0"/>
        <w:autoSpaceDN w:val="0"/>
        <w:snapToGrid w:val="0"/>
        <w:spacing w:line="360" w:lineRule="auto"/>
        <w:ind w:right="-110" w:firstLine="480" w:firstLineChars="200"/>
        <w:textAlignment w:val="bottom"/>
        <w:rPr>
          <w:rFonts w:eastAsia="仿宋_GB2312"/>
          <w:color w:val="auto"/>
          <w:kern w:val="0"/>
          <w:sz w:val="24"/>
          <w:highlight w:val="none"/>
        </w:rPr>
      </w:pPr>
      <w:r>
        <w:rPr>
          <w:rFonts w:eastAsia="仿宋_GB2312"/>
          <w:color w:val="auto"/>
          <w:kern w:val="0"/>
          <w:sz w:val="24"/>
          <w:highlight w:val="none"/>
        </w:rPr>
        <w:t>1、合同未尽事宜、由甲、乙双方协商，作为合同补充，与原合同具有同等法律效力。</w:t>
      </w:r>
    </w:p>
    <w:p w14:paraId="20F9C0DE">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2、 本合同正本一式</w:t>
      </w:r>
      <w:r>
        <w:rPr>
          <w:rFonts w:eastAsia="仿宋_GB2312"/>
          <w:color w:val="auto"/>
          <w:kern w:val="0"/>
          <w:sz w:val="24"/>
          <w:highlight w:val="none"/>
          <w:u w:val="single"/>
        </w:rPr>
        <w:t xml:space="preserve">  </w:t>
      </w:r>
      <w:r>
        <w:rPr>
          <w:rFonts w:eastAsia="仿宋_GB2312"/>
          <w:color w:val="auto"/>
          <w:kern w:val="0"/>
          <w:sz w:val="24"/>
          <w:highlight w:val="none"/>
        </w:rPr>
        <w:t>份，甲方、乙方双方分别执</w:t>
      </w:r>
      <w:r>
        <w:rPr>
          <w:rFonts w:eastAsia="仿宋_GB2312"/>
          <w:color w:val="auto"/>
          <w:kern w:val="0"/>
          <w:sz w:val="24"/>
          <w:highlight w:val="none"/>
          <w:u w:val="single"/>
        </w:rPr>
        <w:t xml:space="preserve">  </w:t>
      </w:r>
      <w:r>
        <w:rPr>
          <w:rFonts w:eastAsia="仿宋_GB2312"/>
          <w:color w:val="auto"/>
          <w:kern w:val="0"/>
          <w:sz w:val="24"/>
          <w:highlight w:val="none"/>
        </w:rPr>
        <w:t>份，</w:t>
      </w:r>
      <w:r>
        <w:rPr>
          <w:rFonts w:eastAsia="仿宋_GB2312"/>
          <w:color w:val="auto"/>
          <w:kern w:val="0"/>
          <w:sz w:val="24"/>
          <w:highlight w:val="none"/>
          <w:u w:val="single"/>
        </w:rPr>
        <w:t xml:space="preserve">       </w:t>
      </w:r>
      <w:r>
        <w:rPr>
          <w:rFonts w:eastAsia="仿宋_GB2312"/>
          <w:color w:val="auto"/>
          <w:kern w:val="0"/>
          <w:sz w:val="24"/>
          <w:highlight w:val="none"/>
        </w:rPr>
        <w:t>备案</w:t>
      </w:r>
      <w:r>
        <w:rPr>
          <w:rFonts w:eastAsia="仿宋_GB2312"/>
          <w:color w:val="auto"/>
          <w:kern w:val="0"/>
          <w:sz w:val="24"/>
          <w:highlight w:val="none"/>
          <w:u w:val="single"/>
        </w:rPr>
        <w:t xml:space="preserve">  </w:t>
      </w:r>
      <w:r>
        <w:rPr>
          <w:rFonts w:eastAsia="仿宋_GB2312"/>
          <w:color w:val="auto"/>
          <w:kern w:val="0"/>
          <w:sz w:val="24"/>
          <w:highlight w:val="none"/>
        </w:rPr>
        <w:t>份。</w:t>
      </w:r>
    </w:p>
    <w:p w14:paraId="15C210AE">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3、合同经甲乙双方盖章、签字后生效，合同签订地点为</w:t>
      </w:r>
      <w:r>
        <w:rPr>
          <w:rFonts w:eastAsia="仿宋_GB2312"/>
          <w:color w:val="auto"/>
          <w:kern w:val="0"/>
          <w:sz w:val="24"/>
          <w:highlight w:val="none"/>
          <w:u w:val="single"/>
        </w:rPr>
        <w:t xml:space="preserve">   </w:t>
      </w:r>
      <w:r>
        <w:rPr>
          <w:rFonts w:eastAsia="仿宋_GB2312"/>
          <w:color w:val="auto"/>
          <w:kern w:val="0"/>
          <w:sz w:val="24"/>
          <w:highlight w:val="none"/>
        </w:rPr>
        <w:t>。</w:t>
      </w:r>
    </w:p>
    <w:p w14:paraId="7A0F36B1">
      <w:pPr>
        <w:widowControl/>
        <w:tabs>
          <w:tab w:val="left" w:pos="8391"/>
        </w:tabs>
        <w:autoSpaceDE w:val="0"/>
        <w:autoSpaceDN w:val="0"/>
        <w:snapToGrid w:val="0"/>
        <w:spacing w:line="360" w:lineRule="auto"/>
        <w:ind w:right="-69" w:firstLine="480" w:firstLineChars="200"/>
        <w:textAlignment w:val="bottom"/>
        <w:rPr>
          <w:rFonts w:eastAsia="仿宋_GB2312"/>
          <w:color w:val="auto"/>
          <w:kern w:val="0"/>
          <w:sz w:val="24"/>
          <w:highlight w:val="none"/>
        </w:rPr>
      </w:pPr>
      <w:r>
        <w:rPr>
          <w:rFonts w:eastAsia="仿宋_GB2312"/>
          <w:color w:val="auto"/>
          <w:kern w:val="0"/>
          <w:sz w:val="24"/>
          <w:highlight w:val="none"/>
        </w:rPr>
        <w:t>4、生效时间：</w:t>
      </w:r>
      <w:r>
        <w:rPr>
          <w:rFonts w:eastAsia="仿宋_GB2312"/>
          <w:color w:val="auto"/>
          <w:kern w:val="0"/>
          <w:sz w:val="24"/>
          <w:highlight w:val="none"/>
          <w:u w:val="single"/>
        </w:rPr>
        <w:t xml:space="preserve">   </w:t>
      </w:r>
      <w:r>
        <w:rPr>
          <w:rFonts w:eastAsia="仿宋_GB2312"/>
          <w:color w:val="auto"/>
          <w:kern w:val="0"/>
          <w:sz w:val="24"/>
          <w:highlight w:val="none"/>
        </w:rPr>
        <w:t>年</w:t>
      </w:r>
      <w:r>
        <w:rPr>
          <w:rFonts w:eastAsia="仿宋_GB2312"/>
          <w:color w:val="auto"/>
          <w:kern w:val="0"/>
          <w:sz w:val="24"/>
          <w:highlight w:val="none"/>
          <w:u w:val="single"/>
        </w:rPr>
        <w:t xml:space="preserve">  </w:t>
      </w:r>
      <w:r>
        <w:rPr>
          <w:rFonts w:eastAsia="仿宋_GB2312"/>
          <w:color w:val="auto"/>
          <w:kern w:val="0"/>
          <w:sz w:val="24"/>
          <w:highlight w:val="none"/>
        </w:rPr>
        <w:t>月</w:t>
      </w:r>
      <w:r>
        <w:rPr>
          <w:rFonts w:eastAsia="仿宋_GB2312"/>
          <w:color w:val="auto"/>
          <w:kern w:val="0"/>
          <w:sz w:val="24"/>
          <w:highlight w:val="none"/>
          <w:u w:val="single"/>
        </w:rPr>
        <w:t xml:space="preserve">  </w:t>
      </w:r>
      <w:r>
        <w:rPr>
          <w:rFonts w:eastAsia="仿宋_GB2312"/>
          <w:color w:val="auto"/>
          <w:kern w:val="0"/>
          <w:sz w:val="24"/>
          <w:highlight w:val="none"/>
        </w:rPr>
        <w:t>日</w:t>
      </w:r>
    </w:p>
    <w:p w14:paraId="059FEAE8">
      <w:pPr>
        <w:widowControl/>
        <w:tabs>
          <w:tab w:val="left" w:pos="8391"/>
        </w:tabs>
        <w:autoSpaceDE w:val="0"/>
        <w:autoSpaceDN w:val="0"/>
        <w:snapToGrid w:val="0"/>
        <w:spacing w:line="360" w:lineRule="auto"/>
        <w:ind w:right="-69" w:firstLine="840" w:firstLineChars="350"/>
        <w:textAlignment w:val="bottom"/>
        <w:rPr>
          <w:rFonts w:eastAsia="仿宋_GB2312"/>
          <w:color w:val="auto"/>
          <w:kern w:val="0"/>
          <w:sz w:val="24"/>
          <w:highlight w:val="none"/>
        </w:rPr>
      </w:pPr>
    </w:p>
    <w:tbl>
      <w:tblPr>
        <w:tblStyle w:val="7"/>
        <w:tblW w:w="0" w:type="auto"/>
        <w:jc w:val="center"/>
        <w:tblLayout w:type="fixed"/>
        <w:tblCellMar>
          <w:top w:w="0" w:type="dxa"/>
          <w:left w:w="108" w:type="dxa"/>
          <w:bottom w:w="0" w:type="dxa"/>
          <w:right w:w="108" w:type="dxa"/>
        </w:tblCellMar>
      </w:tblPr>
      <w:tblGrid>
        <w:gridCol w:w="4643"/>
        <w:gridCol w:w="4643"/>
      </w:tblGrid>
      <w:tr w14:paraId="6E8D669B">
        <w:tblPrEx>
          <w:tblCellMar>
            <w:top w:w="0" w:type="dxa"/>
            <w:left w:w="108" w:type="dxa"/>
            <w:bottom w:w="0" w:type="dxa"/>
            <w:right w:w="108" w:type="dxa"/>
          </w:tblCellMar>
        </w:tblPrEx>
        <w:trPr>
          <w:jc w:val="center"/>
        </w:trPr>
        <w:tc>
          <w:tcPr>
            <w:tcW w:w="4643" w:type="dxa"/>
          </w:tcPr>
          <w:p w14:paraId="641767D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甲方名称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14:paraId="1995640D">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5C4FD50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p>
          <w:p w14:paraId="30EFA7B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418FBC6B">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712BFD08">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c>
          <w:tcPr>
            <w:tcW w:w="4643" w:type="dxa"/>
          </w:tcPr>
          <w:p w14:paraId="5EE6BD0B">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乙方名称</w:t>
            </w:r>
            <w:r>
              <w:rPr>
                <w:rFonts w:eastAsia="仿宋_GB2312"/>
                <w:color w:val="auto"/>
                <w:spacing w:val="-20"/>
                <w:kern w:val="0"/>
                <w:sz w:val="24"/>
                <w:highlight w:val="none"/>
              </w:rPr>
              <w:t>（盖章）</w:t>
            </w:r>
            <w:r>
              <w:rPr>
                <w:rFonts w:hint="eastAsia" w:eastAsia="仿宋_GB2312"/>
                <w:color w:val="auto"/>
                <w:kern w:val="0"/>
                <w:sz w:val="24"/>
                <w:highlight w:val="none"/>
              </w:rPr>
              <w:t>：</w:t>
            </w:r>
          </w:p>
          <w:p w14:paraId="0627A2C8">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地址：</w:t>
            </w:r>
          </w:p>
          <w:p w14:paraId="1D1E354E">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代表人（签字）：</w:t>
            </w:r>
          </w:p>
          <w:p w14:paraId="10A39F22">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电话：</w:t>
            </w:r>
          </w:p>
          <w:p w14:paraId="16585FBA">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开户银行：</w:t>
            </w:r>
          </w:p>
          <w:p w14:paraId="3AF15FA7">
            <w:pPr>
              <w:widowControl/>
              <w:autoSpaceDE w:val="0"/>
              <w:autoSpaceDN w:val="0"/>
              <w:snapToGrid w:val="0"/>
              <w:spacing w:line="360" w:lineRule="auto"/>
              <w:ind w:right="-154"/>
              <w:textAlignment w:val="bottom"/>
              <w:rPr>
                <w:rFonts w:eastAsia="仿宋_GB2312"/>
                <w:color w:val="auto"/>
                <w:kern w:val="0"/>
                <w:sz w:val="24"/>
                <w:highlight w:val="none"/>
              </w:rPr>
            </w:pPr>
            <w:r>
              <w:rPr>
                <w:rFonts w:eastAsia="仿宋_GB2312"/>
                <w:color w:val="auto"/>
                <w:kern w:val="0"/>
                <w:sz w:val="24"/>
                <w:highlight w:val="none"/>
              </w:rPr>
              <w:t>账号：</w:t>
            </w:r>
          </w:p>
        </w:tc>
      </w:tr>
    </w:tbl>
    <w:p w14:paraId="420F9EF8">
      <w:pPr>
        <w:autoSpaceDE w:val="0"/>
        <w:autoSpaceDN w:val="0"/>
        <w:adjustRightInd w:val="0"/>
        <w:spacing w:line="360" w:lineRule="auto"/>
        <w:jc w:val="left"/>
        <w:rPr>
          <w:rFonts w:ascii="仿宋_GB2312" w:hAnsi="仿宋_GB2312" w:eastAsia="仿宋_GB2312" w:cs="仿宋_GB2312"/>
          <w:b/>
          <w:bCs/>
          <w:color w:val="auto"/>
          <w:sz w:val="32"/>
          <w:szCs w:val="32"/>
          <w:highlight w:val="none"/>
        </w:rPr>
      </w:pPr>
    </w:p>
    <w:p w14:paraId="25AAA523">
      <w:pPr>
        <w:shd w:val="clear"/>
        <w:autoSpaceDE w:val="0"/>
        <w:autoSpaceDN w:val="0"/>
        <w:adjustRightInd w:val="0"/>
        <w:spacing w:line="360" w:lineRule="auto"/>
        <w:jc w:val="left"/>
        <w:rPr>
          <w:rFonts w:eastAsia="仿宋"/>
          <w:b/>
          <w:bCs/>
          <w:color w:val="auto"/>
          <w:sz w:val="32"/>
          <w:szCs w:val="32"/>
          <w:highlight w:val="none"/>
        </w:rPr>
      </w:pPr>
    </w:p>
    <w:p w14:paraId="6C12EA61">
      <w:pPr>
        <w:shd w:val="clear"/>
        <w:autoSpaceDE w:val="0"/>
        <w:autoSpaceDN w:val="0"/>
        <w:adjustRightInd w:val="0"/>
        <w:spacing w:line="360" w:lineRule="auto"/>
        <w:jc w:val="left"/>
        <w:rPr>
          <w:rFonts w:eastAsia="仿宋"/>
          <w:b/>
          <w:bCs/>
          <w:color w:val="auto"/>
          <w:sz w:val="32"/>
          <w:szCs w:val="32"/>
          <w:highlight w:val="none"/>
        </w:rPr>
      </w:pPr>
    </w:p>
    <w:p w14:paraId="585065F6">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swiss"/>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0000000"/>
    <w:rsid w:val="053B181F"/>
    <w:rsid w:val="0D281998"/>
    <w:rsid w:val="12FD14DE"/>
    <w:rsid w:val="1FC814F4"/>
    <w:rsid w:val="31C3610C"/>
    <w:rsid w:val="41037F0F"/>
    <w:rsid w:val="417D58F0"/>
    <w:rsid w:val="44AD0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9"/>
    <w:qFormat/>
    <w:uiPriority w:val="0"/>
    <w:pPr>
      <w:keepNext/>
      <w:keepLines/>
      <w:autoSpaceDE w:val="0"/>
      <w:autoSpaceDN w:val="0"/>
      <w:adjustRightInd w:val="0"/>
      <w:spacing w:before="240" w:after="120" w:line="300" w:lineRule="auto"/>
      <w:jc w:val="center"/>
      <w:outlineLvl w:val="0"/>
    </w:pPr>
    <w:rPr>
      <w:rFonts w:ascii="宋体" w:hAnsi="Times New Roman"/>
      <w:bCs w:val="0"/>
      <w:kern w:val="44"/>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4"/>
    <w:next w:val="1"/>
    <w:qFormat/>
    <w:uiPriority w:val="0"/>
    <w:pPr>
      <w:spacing w:before="240" w:after="60"/>
      <w:jc w:val="center"/>
      <w:outlineLvl w:val="0"/>
    </w:pPr>
    <w:rPr>
      <w:rFonts w:ascii="Cambria" w:hAnsi="Cambria"/>
      <w:b/>
      <w:bCs/>
      <w:sz w:val="32"/>
      <w:szCs w:val="32"/>
    </w:rPr>
  </w:style>
  <w:style w:type="paragraph" w:styleId="4">
    <w:name w:val="List 2"/>
    <w:basedOn w:val="1"/>
    <w:qFormat/>
    <w:uiPriority w:val="0"/>
    <w:pPr>
      <w:ind w:left="100" w:leftChars="200" w:hanging="200" w:hangingChars="200"/>
      <w:contextualSpacing/>
    </w:p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1"/>
    <w:qFormat/>
    <w:uiPriority w:val="0"/>
    <w:pPr>
      <w:tabs>
        <w:tab w:val="left" w:pos="567"/>
      </w:tabs>
      <w:spacing w:before="120" w:line="22" w:lineRule="atLeast"/>
    </w:pPr>
    <w:rPr>
      <w:rFonts w:ascii="宋体" w:hAnsi="宋体"/>
      <w:sz w:val="24"/>
    </w:rPr>
  </w:style>
  <w:style w:type="character" w:customStyle="1" w:styleId="9">
    <w:name w:val="标题 1 字符"/>
    <w:link w:val="2"/>
    <w:qFormat/>
    <w:uiPriority w:val="0"/>
    <w:rPr>
      <w:rFonts w:ascii="宋体" w:hAnsi="Times New Roman"/>
      <w:kern w:val="4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3473</Words>
  <Characters>3577</Characters>
  <Lines>0</Lines>
  <Paragraphs>0</Paragraphs>
  <TotalTime>0</TotalTime>
  <ScaleCrop>false</ScaleCrop>
  <LinksUpToDate>false</LinksUpToDate>
  <CharactersWithSpaces>3919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2024-08-21T09:32:00Z</dcterms:created>
  <dc:creator>HP</dc:creator>
  <cp:lastModifiedBy>WPS_1526284077</cp:lastModifiedBy>
  <dcterms:modified xsi:type="dcterms:W3CDTF">2025-07-01T03:44:00Z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623A60DD30404033A49732512D142669_12</vt:lpwstr>
  </property>
  <property fmtid="{D5CDD505-2E9C-101B-9397-08002B2CF9AE}" pid="4" name="KSOTemplateDocerSaveRecord">
    <vt:lpwstr>eyJoZGlkIjoiYWRmNjk4OWM0ZmUyYWMzMjcxNzU1N2MzM2E4N2U1MDYiLCJ1c2VySWQiOiIzNzA0MjM3MzgifQ==</vt:lpwstr>
  </property>
</Properties>
</file>