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ascii="仿宋" w:hAnsi="仿宋" w:eastAsia="仿宋" w:cs="仿宋"/>
          <w:b/>
          <w:bCs/>
          <w:sz w:val="24"/>
          <w:szCs w:val="24"/>
          <w:highlight w:val="none"/>
        </w:rPr>
        <w:t>商务及技术偏离表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Toc21362"/>
      <w:r>
        <w:rPr>
          <w:rFonts w:hint="eastAsia" w:ascii="仿宋" w:hAnsi="仿宋" w:eastAsia="仿宋" w:cs="仿宋"/>
          <w:sz w:val="28"/>
          <w:szCs w:val="28"/>
          <w:highlight w:val="none"/>
        </w:rPr>
        <w:t>商务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及技术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偏离表</w:t>
      </w:r>
      <w:bookmarkEnd w:id="0"/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8"/>
        <w:gridCol w:w="2546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5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...</w:t>
            </w:r>
          </w:p>
        </w:tc>
        <w:tc>
          <w:tcPr>
            <w:tcW w:w="2546" w:type="dxa"/>
            <w:noWrap w:val="0"/>
            <w:vAlign w:val="top"/>
          </w:tcPr>
          <w:p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1、本表只填写投标文件中与招标文件有偏离（包括正偏离和负偏离）的内容，投标文件与招标文件要求完全一致的，不用在此表中列出，但必须提交本表（需签字盖章），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除本偏离表中所列的偏离项目外，其它均完全响应“招标文件”中的要求。</w:t>
      </w:r>
    </w:p>
    <w:p>
      <w:pPr>
        <w:spacing w:line="400" w:lineRule="atLeast"/>
        <w:ind w:firstLine="240" w:firstLineChars="100"/>
        <w:rPr>
          <w:rFonts w:asci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2、供应商必须据实填写，不得虚假响应，否则将取消其投标或中标资格，并按有关规定进处罚。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  <w:lang w:eastAsia="zh-CN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  <w:lang w:eastAsia="zh-CN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4CE3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2025-06-30T08:00:22Z</dcterms:created>
  <dc:creator>Admin</dc:creator>
  <cp:lastModifiedBy>Admin</cp:lastModifiedBy>
  <dcterms:modified xsi:type="dcterms:W3CDTF">2025-06-30T08:00:35Z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4C1D1D465DB34F4AAFC57AF2D57EA126_12</vt:lpwstr>
  </property>
</Properties>
</file>