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8FBC66">
      <w:pPr>
        <w:spacing w:line="500" w:lineRule="exact"/>
        <w:jc w:val="center"/>
        <w:rPr>
          <w:rFonts w:ascii="宋体" w:hAnsi="宋体" w:cs="宋体"/>
          <w:color w:val="000000"/>
          <w:highlight w:val="yellow"/>
        </w:rPr>
      </w:pPr>
      <w:r>
        <w:rPr>
          <w:rFonts w:hint="eastAsia"/>
          <w:b/>
          <w:bCs/>
          <w:kern w:val="44"/>
          <w:sz w:val="30"/>
          <w:szCs w:val="44"/>
        </w:rPr>
        <w:t>拟签订的合同条款</w:t>
      </w:r>
    </w:p>
    <w:p w14:paraId="7FD626F5">
      <w:pPr>
        <w:spacing w:line="360" w:lineRule="auto"/>
        <w:ind w:firstLine="420" w:firstLineChars="200"/>
        <w:jc w:val="center"/>
        <w:rPr>
          <w:rFonts w:ascii="宋体" w:hAnsi="宋体" w:cs="宋体"/>
          <w:kern w:val="2"/>
          <w:szCs w:val="24"/>
        </w:rPr>
      </w:pPr>
      <w:r>
        <w:rPr>
          <w:rFonts w:hint="eastAsia" w:ascii="宋体" w:hAnsi="宋体" w:cs="宋体"/>
          <w:kern w:val="2"/>
          <w:szCs w:val="24"/>
        </w:rPr>
        <w:t>（此合同样本仅供参考，合同具体细则以双方协定为准）</w:t>
      </w:r>
    </w:p>
    <w:p w14:paraId="3CE225B8">
      <w:pPr>
        <w:spacing w:line="360" w:lineRule="auto"/>
        <w:ind w:firstLine="420" w:firstLineChars="200"/>
        <w:rPr>
          <w:rFonts w:ascii="宋体" w:hAnsi="宋体" w:cs="宋体"/>
          <w:kern w:val="2"/>
          <w:szCs w:val="24"/>
        </w:rPr>
      </w:pPr>
      <w:r>
        <w:rPr>
          <w:rFonts w:hint="eastAsia" w:ascii="宋体" w:hAnsi="宋体" w:cs="宋体"/>
          <w:kern w:val="2"/>
          <w:szCs w:val="24"/>
        </w:rPr>
        <w:t>合同编号：</w:t>
      </w:r>
    </w:p>
    <w:p w14:paraId="52EF688A">
      <w:pPr>
        <w:spacing w:line="360" w:lineRule="auto"/>
        <w:ind w:firstLine="420" w:firstLineChars="200"/>
        <w:rPr>
          <w:rFonts w:ascii="宋体" w:hAnsi="宋体" w:cs="宋体"/>
          <w:kern w:val="2"/>
          <w:szCs w:val="24"/>
        </w:rPr>
      </w:pPr>
      <w:r>
        <w:rPr>
          <w:rFonts w:hint="eastAsia" w:ascii="宋体" w:hAnsi="宋体" w:cs="宋体"/>
          <w:kern w:val="2"/>
          <w:szCs w:val="24"/>
        </w:rPr>
        <w:t xml:space="preserve">签订地点： </w:t>
      </w:r>
    </w:p>
    <w:p w14:paraId="28873492">
      <w:pPr>
        <w:spacing w:line="360" w:lineRule="auto"/>
        <w:ind w:firstLine="420" w:firstLineChars="200"/>
        <w:rPr>
          <w:rFonts w:ascii="宋体" w:hAnsi="宋体" w:cs="宋体"/>
          <w:kern w:val="2"/>
          <w:szCs w:val="24"/>
        </w:rPr>
      </w:pPr>
      <w:r>
        <w:rPr>
          <w:rFonts w:hint="eastAsia" w:ascii="宋体" w:hAnsi="宋体" w:cs="宋体"/>
          <w:kern w:val="2"/>
          <w:szCs w:val="24"/>
        </w:rPr>
        <w:t>签订时间：</w:t>
      </w:r>
    </w:p>
    <w:p w14:paraId="36EBA19C">
      <w:pPr>
        <w:spacing w:line="360" w:lineRule="auto"/>
        <w:ind w:firstLine="420" w:firstLineChars="200"/>
        <w:rPr>
          <w:rFonts w:ascii="宋体" w:hAnsi="宋体" w:cs="宋体"/>
          <w:kern w:val="2"/>
          <w:szCs w:val="24"/>
        </w:rPr>
      </w:pPr>
      <w:r>
        <w:rPr>
          <w:rFonts w:hint="eastAsia" w:ascii="宋体" w:hAnsi="宋体" w:cs="宋体"/>
          <w:kern w:val="2"/>
          <w:szCs w:val="24"/>
        </w:rPr>
        <w:t>采购人（甲方）：</w:t>
      </w:r>
    </w:p>
    <w:p w14:paraId="72175D87">
      <w:pPr>
        <w:spacing w:line="360" w:lineRule="auto"/>
        <w:ind w:firstLine="420" w:firstLineChars="200"/>
        <w:rPr>
          <w:rFonts w:ascii="宋体" w:hAnsi="宋体" w:cs="宋体"/>
          <w:kern w:val="2"/>
          <w:szCs w:val="24"/>
        </w:rPr>
      </w:pPr>
      <w:r>
        <w:rPr>
          <w:rFonts w:hint="eastAsia" w:ascii="宋体" w:hAnsi="宋体" w:cs="宋体"/>
          <w:kern w:val="2"/>
          <w:szCs w:val="24"/>
        </w:rPr>
        <w:t>中标人（乙方）：</w:t>
      </w:r>
    </w:p>
    <w:p w14:paraId="01D94731">
      <w:pPr>
        <w:spacing w:before="156" w:beforeLines="50" w:line="360" w:lineRule="auto"/>
        <w:ind w:firstLine="420" w:firstLineChars="200"/>
        <w:rPr>
          <w:rFonts w:ascii="宋体" w:hAnsi="宋体" w:cs="宋体"/>
          <w:kern w:val="2"/>
          <w:szCs w:val="24"/>
        </w:rPr>
      </w:pPr>
      <w:r>
        <w:rPr>
          <w:rFonts w:hint="eastAsia" w:ascii="宋体" w:hAnsi="宋体" w:cs="宋体"/>
          <w:kern w:val="2"/>
          <w:szCs w:val="24"/>
        </w:rPr>
        <w:t>根据《中华人民共和国民法典》、《中华人民共和国政府采购法》及实施条例和甲方</w:t>
      </w:r>
      <w:r>
        <w:rPr>
          <w:rFonts w:hint="eastAsia" w:ascii="宋体" w:hAnsi="宋体" w:cs="宋体"/>
          <w:kern w:val="2"/>
          <w:szCs w:val="24"/>
          <w:u w:val="single"/>
        </w:rPr>
        <w:t xml:space="preserve">                   项目</w:t>
      </w:r>
      <w:r>
        <w:rPr>
          <w:rFonts w:hint="eastAsia" w:ascii="宋体" w:hAnsi="宋体" w:cs="宋体"/>
          <w:kern w:val="2"/>
          <w:szCs w:val="24"/>
        </w:rPr>
        <w:t>的磋商文件、磋商响应文件等有关规定，为确保甲方采购项目的顺利实施，甲、乙双方在平等自愿原则下签订本合同，并共同遵守如下条款：</w:t>
      </w:r>
    </w:p>
    <w:p w14:paraId="3C331E0F">
      <w:pPr>
        <w:pStyle w:val="7"/>
        <w:spacing w:line="360" w:lineRule="auto"/>
        <w:ind w:firstLine="482" w:firstLineChars="200"/>
        <w:textAlignment w:val="auto"/>
        <w:rPr>
          <w:rFonts w:ascii="宋体" w:hAnsi="宋体" w:cs="宋体"/>
          <w:b/>
          <w:bCs/>
          <w:sz w:val="24"/>
          <w:szCs w:val="24"/>
        </w:rPr>
      </w:pPr>
      <w:r>
        <w:rPr>
          <w:rFonts w:hint="eastAsia" w:ascii="宋体" w:hAnsi="宋体" w:cs="宋体"/>
          <w:b/>
          <w:bCs/>
          <w:sz w:val="24"/>
          <w:szCs w:val="24"/>
        </w:rPr>
        <w:t>一、合同价款</w:t>
      </w:r>
    </w:p>
    <w:p w14:paraId="03EE1B8B">
      <w:pPr>
        <w:autoSpaceDE w:val="0"/>
        <w:autoSpaceDN w:val="0"/>
        <w:snapToGrid w:val="0"/>
        <w:spacing w:line="360" w:lineRule="auto"/>
        <w:ind w:firstLine="420" w:firstLineChars="200"/>
        <w:textAlignment w:val="auto"/>
        <w:rPr>
          <w:rFonts w:ascii="宋体" w:hAnsi="宋体" w:cs="宋体"/>
          <w:bCs/>
          <w:szCs w:val="24"/>
        </w:rPr>
      </w:pPr>
      <w:r>
        <w:rPr>
          <w:rFonts w:hint="eastAsia" w:ascii="宋体" w:hAnsi="宋体" w:cs="宋体"/>
          <w:bCs/>
          <w:szCs w:val="24"/>
        </w:rPr>
        <w:t>（一）合同总价款为人民币（大写）</w:t>
      </w:r>
      <w:r>
        <w:rPr>
          <w:rFonts w:hint="eastAsia" w:ascii="宋体" w:hAnsi="宋体" w:cs="宋体"/>
          <w:bCs/>
          <w:szCs w:val="24"/>
          <w:u w:val="single"/>
        </w:rPr>
        <w:t xml:space="preserve">        </w:t>
      </w:r>
      <w:r>
        <w:rPr>
          <w:rFonts w:hint="eastAsia" w:ascii="宋体" w:hAnsi="宋体" w:cs="宋体"/>
          <w:bCs/>
          <w:szCs w:val="24"/>
        </w:rPr>
        <w:t>（￥</w:t>
      </w:r>
      <w:r>
        <w:rPr>
          <w:rFonts w:hint="eastAsia" w:ascii="宋体" w:hAnsi="宋体" w:cs="宋体"/>
          <w:bCs/>
          <w:szCs w:val="24"/>
          <w:u w:val="single"/>
        </w:rPr>
        <w:t xml:space="preserve">      </w:t>
      </w:r>
      <w:r>
        <w:rPr>
          <w:rFonts w:hint="eastAsia" w:ascii="宋体" w:hAnsi="宋体" w:cs="宋体"/>
          <w:bCs/>
          <w:szCs w:val="24"/>
        </w:rPr>
        <w:t xml:space="preserve"> ）。</w:t>
      </w:r>
    </w:p>
    <w:p w14:paraId="2ABB2AF0">
      <w:pPr>
        <w:autoSpaceDE w:val="0"/>
        <w:autoSpaceDN w:val="0"/>
        <w:snapToGrid w:val="0"/>
        <w:spacing w:line="360" w:lineRule="auto"/>
        <w:ind w:firstLine="420" w:firstLineChars="200"/>
        <w:textAlignment w:val="auto"/>
        <w:rPr>
          <w:rFonts w:ascii="宋体" w:hAnsi="宋体" w:cs="宋体"/>
          <w:szCs w:val="24"/>
        </w:rPr>
      </w:pPr>
      <w:r>
        <w:rPr>
          <w:rFonts w:hint="eastAsia" w:ascii="宋体" w:hAnsi="宋体" w:cs="宋体"/>
          <w:bCs/>
          <w:szCs w:val="24"/>
        </w:rPr>
        <w:t>（二）合同总价包括：合同期内服务实施费用、</w:t>
      </w:r>
      <w:r>
        <w:rPr>
          <w:rFonts w:hint="eastAsia" w:ascii="宋体" w:hAnsi="宋体" w:cs="宋体"/>
          <w:bCs/>
        </w:rPr>
        <w:t>人工费、材料费、按约定的所有维修费用、交通费、住宿费、管理费、税金</w:t>
      </w:r>
      <w:r>
        <w:rPr>
          <w:rFonts w:hint="eastAsia" w:ascii="宋体" w:hAnsi="宋体" w:cs="宋体"/>
          <w:bCs/>
          <w:szCs w:val="24"/>
          <w:lang w:val="zh-CN"/>
        </w:rPr>
        <w:t>以及国家按现行税率征收的一切税费等所有费用。</w:t>
      </w:r>
    </w:p>
    <w:p w14:paraId="52FECA09">
      <w:pPr>
        <w:autoSpaceDE w:val="0"/>
        <w:autoSpaceDN w:val="0"/>
        <w:snapToGrid w:val="0"/>
        <w:spacing w:line="360" w:lineRule="auto"/>
        <w:ind w:firstLine="420" w:firstLineChars="200"/>
        <w:textAlignment w:val="auto"/>
        <w:rPr>
          <w:rFonts w:ascii="宋体" w:hAnsi="宋体" w:cs="宋体"/>
          <w:bCs/>
          <w:szCs w:val="24"/>
        </w:rPr>
      </w:pPr>
      <w:r>
        <w:rPr>
          <w:rFonts w:hint="eastAsia" w:ascii="宋体" w:hAnsi="宋体" w:cs="宋体"/>
          <w:bCs/>
          <w:szCs w:val="24"/>
        </w:rPr>
        <w:t>（三）合同总价一次性包死，不受市场价格变化因素的影响。</w:t>
      </w:r>
    </w:p>
    <w:p w14:paraId="3FC38056">
      <w:pPr>
        <w:autoSpaceDE w:val="0"/>
        <w:autoSpaceDN w:val="0"/>
        <w:snapToGrid w:val="0"/>
        <w:spacing w:line="360" w:lineRule="auto"/>
        <w:ind w:firstLine="422" w:firstLineChars="200"/>
        <w:textAlignment w:val="auto"/>
        <w:rPr>
          <w:rFonts w:ascii="宋体" w:hAnsi="宋体" w:cs="宋体"/>
          <w:b/>
          <w:bCs/>
          <w:szCs w:val="24"/>
        </w:rPr>
      </w:pPr>
      <w:r>
        <w:rPr>
          <w:rFonts w:hint="eastAsia" w:ascii="宋体" w:hAnsi="宋体" w:cs="宋体"/>
          <w:b/>
          <w:bCs/>
          <w:szCs w:val="24"/>
        </w:rPr>
        <w:t>二、款项结算</w:t>
      </w:r>
    </w:p>
    <w:p w14:paraId="328119FC">
      <w:pPr>
        <w:autoSpaceDE w:val="0"/>
        <w:autoSpaceDN w:val="0"/>
        <w:snapToGrid w:val="0"/>
        <w:spacing w:line="360" w:lineRule="auto"/>
        <w:ind w:firstLine="422" w:firstLineChars="200"/>
        <w:textAlignment w:val="auto"/>
        <w:rPr>
          <w:rFonts w:ascii="宋体" w:hAnsi="宋体" w:cs="宋体"/>
          <w:b/>
          <w:szCs w:val="24"/>
          <w:highlight w:val="yellow"/>
        </w:rPr>
      </w:pPr>
      <w:r>
        <w:rPr>
          <w:rFonts w:hint="eastAsia" w:ascii="宋体" w:hAnsi="宋体" w:cs="宋体"/>
          <w:b/>
          <w:szCs w:val="24"/>
        </w:rPr>
        <w:t>1.付款方式：付款条件说明：合同签订后 ，成交供应商</w:t>
      </w:r>
      <w:bookmarkStart w:id="3" w:name="_GoBack"/>
      <w:bookmarkEnd w:id="3"/>
      <w:r>
        <w:rPr>
          <w:rFonts w:hint="eastAsia" w:ascii="宋体" w:hAnsi="宋体" w:cs="宋体"/>
          <w:b/>
          <w:szCs w:val="24"/>
          <w:lang w:val="en-US" w:eastAsia="zh-CN"/>
        </w:rPr>
        <w:t>开具全额发票，</w:t>
      </w:r>
      <w:r>
        <w:rPr>
          <w:rFonts w:hint="eastAsia" w:ascii="宋体" w:hAnsi="宋体" w:cs="宋体"/>
          <w:b/>
          <w:szCs w:val="24"/>
        </w:rPr>
        <w:t xml:space="preserve">达到付款条件起 </w:t>
      </w:r>
      <w:r>
        <w:rPr>
          <w:rFonts w:hint="eastAsia" w:ascii="宋体" w:hAnsi="宋体" w:cs="宋体"/>
          <w:b/>
          <w:szCs w:val="24"/>
          <w:lang w:val="en-US" w:eastAsia="zh-CN"/>
        </w:rPr>
        <w:t>30</w:t>
      </w:r>
      <w:r>
        <w:rPr>
          <w:rFonts w:hint="eastAsia" w:ascii="宋体" w:hAnsi="宋体" w:cs="宋体"/>
          <w:b/>
          <w:szCs w:val="24"/>
        </w:rPr>
        <w:t xml:space="preserve"> 日内，支付合同总金额的 </w:t>
      </w:r>
      <w:r>
        <w:rPr>
          <w:rFonts w:hint="eastAsia" w:ascii="宋体" w:hAnsi="宋体" w:cs="宋体"/>
          <w:b/>
          <w:szCs w:val="24"/>
          <w:lang w:val="en-US" w:eastAsia="zh-CN"/>
        </w:rPr>
        <w:t>100</w:t>
      </w:r>
      <w:r>
        <w:rPr>
          <w:rFonts w:hint="eastAsia" w:ascii="宋体" w:hAnsi="宋体" w:cs="宋体"/>
          <w:b/>
          <w:szCs w:val="24"/>
        </w:rPr>
        <w:t>.00%。</w:t>
      </w:r>
    </w:p>
    <w:p w14:paraId="45E5C068">
      <w:pPr>
        <w:autoSpaceDE w:val="0"/>
        <w:autoSpaceDN w:val="0"/>
        <w:snapToGrid w:val="0"/>
        <w:spacing w:line="360" w:lineRule="auto"/>
        <w:ind w:firstLine="420" w:firstLineChars="200"/>
        <w:textAlignment w:val="auto"/>
        <w:rPr>
          <w:rFonts w:ascii="宋体" w:hAnsi="宋体" w:cs="宋体"/>
          <w:bCs/>
          <w:szCs w:val="24"/>
        </w:rPr>
      </w:pPr>
      <w:r>
        <w:rPr>
          <w:rFonts w:hint="eastAsia" w:ascii="宋体" w:hAnsi="宋体" w:cs="宋体"/>
          <w:bCs/>
          <w:szCs w:val="24"/>
        </w:rPr>
        <w:t xml:space="preserve">2.结算方式：银行转账。 </w:t>
      </w:r>
    </w:p>
    <w:p w14:paraId="4331A5D9">
      <w:pPr>
        <w:autoSpaceDE w:val="0"/>
        <w:autoSpaceDN w:val="0"/>
        <w:snapToGrid w:val="0"/>
        <w:spacing w:line="360" w:lineRule="auto"/>
        <w:ind w:firstLine="422" w:firstLineChars="200"/>
        <w:textAlignment w:val="auto"/>
        <w:rPr>
          <w:rFonts w:ascii="宋体" w:hAnsi="宋体" w:cs="宋体"/>
          <w:b/>
          <w:szCs w:val="24"/>
        </w:rPr>
      </w:pPr>
      <w:r>
        <w:rPr>
          <w:rFonts w:hint="eastAsia" w:ascii="宋体" w:hAnsi="宋体" w:cs="宋体"/>
          <w:b/>
          <w:szCs w:val="24"/>
        </w:rPr>
        <w:t>三、项目</w:t>
      </w:r>
      <w:r>
        <w:rPr>
          <w:rFonts w:hint="eastAsia" w:ascii="宋体" w:hAnsi="宋体" w:cs="宋体"/>
          <w:b/>
          <w:bCs/>
          <w:szCs w:val="24"/>
        </w:rPr>
        <w:t>实施地点及完工期</w:t>
      </w:r>
    </w:p>
    <w:p w14:paraId="7FB5D2BE">
      <w:pPr>
        <w:autoSpaceDE w:val="0"/>
        <w:autoSpaceDN w:val="0"/>
        <w:snapToGrid w:val="0"/>
        <w:spacing w:line="360" w:lineRule="auto"/>
        <w:ind w:firstLine="420" w:firstLineChars="200"/>
        <w:textAlignment w:val="auto"/>
        <w:outlineLvl w:val="0"/>
        <w:rPr>
          <w:rFonts w:ascii="宋体" w:hAnsi="宋体" w:cs="宋体"/>
          <w:bCs/>
          <w:szCs w:val="24"/>
        </w:rPr>
      </w:pPr>
      <w:r>
        <w:rPr>
          <w:rFonts w:hint="eastAsia" w:ascii="宋体" w:hAnsi="宋体" w:cs="宋体"/>
          <w:bCs/>
          <w:szCs w:val="24"/>
        </w:rPr>
        <w:t>1.项目实施地点：甲方指定地点</w:t>
      </w:r>
    </w:p>
    <w:p w14:paraId="5884DC7B">
      <w:pPr>
        <w:pStyle w:val="6"/>
        <w:ind w:firstLine="420" w:firstLineChars="200"/>
        <w:rPr>
          <w:rFonts w:ascii="宋体" w:hAnsi="宋体" w:cs="宋体"/>
          <w:bCs/>
          <w:szCs w:val="24"/>
        </w:rPr>
      </w:pPr>
      <w:r>
        <w:rPr>
          <w:rFonts w:hint="eastAsia" w:ascii="宋体" w:hAnsi="宋体" w:cs="宋体"/>
          <w:bCs/>
          <w:szCs w:val="24"/>
        </w:rPr>
        <w:t>2.</w:t>
      </w:r>
      <w:r>
        <w:rPr>
          <w:rFonts w:hint="eastAsia" w:ascii="宋体" w:hAnsi="宋体"/>
        </w:rPr>
        <w:t>服务期限</w:t>
      </w:r>
      <w:r>
        <w:rPr>
          <w:rFonts w:hint="eastAsia" w:ascii="宋体" w:hAnsi="宋体" w:eastAsia="宋体" w:cs="宋体"/>
          <w:bCs/>
          <w:sz w:val="24"/>
          <w:szCs w:val="24"/>
          <w:lang w:val="en-US" w:eastAsia="zh-CN" w:bidi="ar-SA"/>
        </w:rPr>
        <w:t>：2025年8月27日-2026年8月26日</w:t>
      </w:r>
      <w:r>
        <w:rPr>
          <w:rFonts w:hint="eastAsia" w:ascii="宋体" w:hAnsi="宋体" w:cs="宋体"/>
          <w:szCs w:val="24"/>
        </w:rPr>
        <w:tab/>
      </w:r>
    </w:p>
    <w:p w14:paraId="1EDEC6B6">
      <w:pPr>
        <w:autoSpaceDE w:val="0"/>
        <w:autoSpaceDN w:val="0"/>
        <w:snapToGrid w:val="0"/>
        <w:spacing w:line="360" w:lineRule="auto"/>
        <w:ind w:firstLine="422" w:firstLineChars="200"/>
        <w:textAlignment w:val="auto"/>
        <w:rPr>
          <w:rFonts w:ascii="宋体" w:hAnsi="宋体" w:cs="宋体"/>
          <w:b/>
          <w:szCs w:val="24"/>
        </w:rPr>
      </w:pPr>
      <w:r>
        <w:rPr>
          <w:rFonts w:hint="eastAsia" w:ascii="宋体" w:hAnsi="宋体" w:cs="宋体"/>
          <w:b/>
          <w:szCs w:val="24"/>
        </w:rPr>
        <w:t>四、服务内容</w:t>
      </w:r>
    </w:p>
    <w:p w14:paraId="491ED8B1">
      <w:pPr>
        <w:autoSpaceDE w:val="0"/>
        <w:autoSpaceDN w:val="0"/>
        <w:snapToGrid w:val="0"/>
        <w:spacing w:line="360" w:lineRule="auto"/>
        <w:ind w:firstLine="420" w:firstLineChars="200"/>
        <w:textAlignment w:val="auto"/>
        <w:outlineLvl w:val="0"/>
        <w:rPr>
          <w:rFonts w:ascii="宋体" w:hAnsi="宋体" w:cs="宋体"/>
          <w:bCs/>
          <w:szCs w:val="24"/>
        </w:rPr>
      </w:pPr>
      <w:r>
        <w:rPr>
          <w:rFonts w:hint="eastAsia" w:ascii="宋体" w:hAnsi="宋体" w:cs="宋体"/>
          <w:bCs/>
          <w:szCs w:val="24"/>
        </w:rPr>
        <w:t>保障</w:t>
      </w:r>
      <w:r>
        <w:rPr>
          <w:rFonts w:hint="eastAsia" w:ascii="宋体" w:hAnsi="宋体" w:cs="宋体"/>
          <w:bCs/>
          <w:szCs w:val="24"/>
          <w:lang w:eastAsia="zh-CN"/>
        </w:rPr>
        <w:t>陕西省基层软件、基本公卫考核平台暨“互联网+家庭医生签约服务”监管平台</w:t>
      </w:r>
      <w:r>
        <w:rPr>
          <w:rFonts w:hint="eastAsia" w:ascii="宋体" w:hAnsi="宋体" w:cs="宋体"/>
          <w:bCs/>
          <w:szCs w:val="24"/>
        </w:rPr>
        <w:t>正常运行、负责系统日常管理维护工作。</w:t>
      </w:r>
    </w:p>
    <w:p w14:paraId="26E195F0">
      <w:pPr>
        <w:autoSpaceDE w:val="0"/>
        <w:autoSpaceDN w:val="0"/>
        <w:snapToGrid w:val="0"/>
        <w:spacing w:line="360" w:lineRule="auto"/>
        <w:ind w:firstLine="422" w:firstLineChars="200"/>
        <w:rPr>
          <w:rFonts w:ascii="宋体" w:hAnsi="宋体" w:cs="宋体"/>
          <w:b/>
        </w:rPr>
      </w:pPr>
      <w:r>
        <w:rPr>
          <w:rFonts w:hint="eastAsia" w:ascii="宋体" w:hAnsi="宋体" w:cs="宋体"/>
          <w:b/>
        </w:rPr>
        <w:t>五、服务保证</w:t>
      </w:r>
    </w:p>
    <w:p w14:paraId="03CBF1C2">
      <w:pPr>
        <w:autoSpaceDE w:val="0"/>
        <w:autoSpaceDN w:val="0"/>
        <w:snapToGrid w:val="0"/>
        <w:spacing w:line="360" w:lineRule="auto"/>
        <w:ind w:firstLine="420" w:firstLineChars="200"/>
        <w:textAlignment w:val="auto"/>
        <w:outlineLvl w:val="0"/>
        <w:rPr>
          <w:rFonts w:ascii="宋体" w:hAnsi="宋体" w:cs="宋体"/>
          <w:bCs/>
          <w:szCs w:val="24"/>
        </w:rPr>
      </w:pPr>
      <w:r>
        <w:rPr>
          <w:rFonts w:hint="eastAsia" w:ascii="宋体" w:hAnsi="宋体" w:cs="宋体"/>
          <w:bCs/>
          <w:szCs w:val="24"/>
        </w:rPr>
        <w:t>1.所供的成果报告必须保证是符合国家相关程序相关规定。</w:t>
      </w:r>
    </w:p>
    <w:p w14:paraId="65835B42">
      <w:pPr>
        <w:autoSpaceDE w:val="0"/>
        <w:autoSpaceDN w:val="0"/>
        <w:snapToGrid w:val="0"/>
        <w:spacing w:line="360" w:lineRule="auto"/>
        <w:ind w:firstLine="420" w:firstLineChars="200"/>
        <w:textAlignment w:val="auto"/>
        <w:outlineLvl w:val="0"/>
        <w:rPr>
          <w:rFonts w:ascii="宋体" w:hAnsi="宋体" w:cs="宋体"/>
          <w:bCs/>
          <w:szCs w:val="24"/>
        </w:rPr>
      </w:pPr>
      <w:r>
        <w:rPr>
          <w:rFonts w:hint="eastAsia" w:ascii="宋体" w:hAnsi="宋体" w:cs="宋体"/>
          <w:bCs/>
          <w:szCs w:val="24"/>
        </w:rPr>
        <w:t>2.供应商提供相关成果报告确保真实性、可靠性。</w:t>
      </w:r>
    </w:p>
    <w:p w14:paraId="0EC26651">
      <w:pPr>
        <w:autoSpaceDE w:val="0"/>
        <w:autoSpaceDN w:val="0"/>
        <w:snapToGrid w:val="0"/>
        <w:spacing w:line="360" w:lineRule="auto"/>
        <w:ind w:firstLine="422" w:firstLineChars="200"/>
        <w:rPr>
          <w:rFonts w:ascii="宋体" w:hAnsi="宋体" w:cs="宋体"/>
          <w:b/>
        </w:rPr>
      </w:pPr>
      <w:r>
        <w:rPr>
          <w:rFonts w:hint="eastAsia" w:ascii="宋体" w:hAnsi="宋体" w:cs="宋体"/>
          <w:b/>
        </w:rPr>
        <w:t>六、知识产权</w:t>
      </w:r>
    </w:p>
    <w:p w14:paraId="7BF92420">
      <w:pPr>
        <w:autoSpaceDE w:val="0"/>
        <w:autoSpaceDN w:val="0"/>
        <w:snapToGrid w:val="0"/>
        <w:spacing w:line="360" w:lineRule="auto"/>
        <w:ind w:firstLine="420" w:firstLineChars="200"/>
        <w:rPr>
          <w:rFonts w:ascii="宋体" w:hAnsi="宋体" w:cs="宋体"/>
        </w:rPr>
      </w:pPr>
      <w:r>
        <w:rPr>
          <w:rFonts w:hint="eastAsia" w:ascii="宋体" w:hAnsi="宋体" w:cs="宋体"/>
        </w:rPr>
        <w:t xml:space="preserve">1.本项目所涉及到的所有成果的知识产权归采购人所有。 </w:t>
      </w:r>
    </w:p>
    <w:p w14:paraId="5407F3DA">
      <w:pPr>
        <w:autoSpaceDE w:val="0"/>
        <w:autoSpaceDN w:val="0"/>
        <w:snapToGrid w:val="0"/>
        <w:spacing w:line="360" w:lineRule="auto"/>
        <w:ind w:firstLine="420" w:firstLineChars="200"/>
        <w:rPr>
          <w:rFonts w:ascii="宋体" w:hAnsi="宋体" w:cs="宋体"/>
        </w:rPr>
      </w:pPr>
      <w:r>
        <w:rPr>
          <w:rFonts w:hint="eastAsia" w:ascii="宋体" w:hAnsi="宋体" w:cs="宋体"/>
        </w:rPr>
        <w:t xml:space="preserve">2.供应商无论出于任何目的如在其他地方使用该成果，必须经采购人同意方可使用。否则，贵采购人有权要求终止涉及到该中标知识产权的任何使用活动并保留追究卖方相应的法律责任的权利。 </w:t>
      </w:r>
    </w:p>
    <w:p w14:paraId="17931EA1">
      <w:pPr>
        <w:autoSpaceDE w:val="0"/>
        <w:autoSpaceDN w:val="0"/>
        <w:snapToGrid w:val="0"/>
        <w:spacing w:line="360" w:lineRule="auto"/>
        <w:ind w:firstLine="420" w:firstLineChars="200"/>
        <w:rPr>
          <w:rFonts w:ascii="宋体" w:hAnsi="宋体" w:cs="宋体"/>
        </w:rPr>
      </w:pPr>
      <w:r>
        <w:rPr>
          <w:rFonts w:hint="eastAsia" w:ascii="宋体" w:hAnsi="宋体" w:cs="宋体"/>
        </w:rPr>
        <w:t>3.供应商为执行本合同而提供的技术资料使用权归采购人所有。</w:t>
      </w:r>
    </w:p>
    <w:p w14:paraId="4F02880E">
      <w:pPr>
        <w:autoSpaceDE w:val="0"/>
        <w:autoSpaceDN w:val="0"/>
        <w:snapToGrid w:val="0"/>
        <w:spacing w:line="360" w:lineRule="auto"/>
        <w:ind w:firstLine="422" w:firstLineChars="200"/>
        <w:textAlignment w:val="auto"/>
        <w:rPr>
          <w:rFonts w:ascii="宋体" w:hAnsi="宋体" w:cs="宋体"/>
          <w:b/>
          <w:szCs w:val="24"/>
        </w:rPr>
      </w:pPr>
      <w:r>
        <w:rPr>
          <w:rFonts w:hint="eastAsia" w:ascii="宋体" w:hAnsi="宋体" w:cs="宋体"/>
          <w:b/>
          <w:szCs w:val="24"/>
        </w:rPr>
        <w:t>七、其它事项</w:t>
      </w:r>
    </w:p>
    <w:p w14:paraId="492E07FF">
      <w:pPr>
        <w:autoSpaceDE w:val="0"/>
        <w:autoSpaceDN w:val="0"/>
        <w:snapToGrid w:val="0"/>
        <w:spacing w:line="360" w:lineRule="auto"/>
        <w:ind w:firstLine="420" w:firstLineChars="200"/>
        <w:textAlignment w:val="auto"/>
        <w:rPr>
          <w:rFonts w:ascii="宋体" w:hAnsi="宋体" w:cs="宋体"/>
          <w:bCs/>
          <w:szCs w:val="24"/>
        </w:rPr>
      </w:pPr>
      <w:r>
        <w:rPr>
          <w:rFonts w:hint="eastAsia" w:ascii="宋体" w:hAnsi="宋体" w:cs="宋体"/>
          <w:bCs/>
          <w:szCs w:val="24"/>
        </w:rPr>
        <w:t>1.乙方不得转让、分包给其它单位或个人。</w:t>
      </w:r>
    </w:p>
    <w:p w14:paraId="31362CAF">
      <w:pPr>
        <w:spacing w:line="360" w:lineRule="auto"/>
        <w:ind w:firstLine="420" w:firstLineChars="200"/>
        <w:rPr>
          <w:rFonts w:ascii="宋体" w:hAnsi="宋体" w:cs="宋体"/>
          <w:bCs/>
          <w:szCs w:val="24"/>
        </w:rPr>
      </w:pPr>
      <w:r>
        <w:rPr>
          <w:rFonts w:hint="eastAsia" w:ascii="宋体" w:hAnsi="宋体" w:cs="宋体"/>
          <w:bCs/>
          <w:szCs w:val="24"/>
        </w:rPr>
        <w:t>2.乙方的投标文件和承诺等内容将列入合同。</w:t>
      </w:r>
    </w:p>
    <w:p w14:paraId="0CFE506B">
      <w:pPr>
        <w:autoSpaceDE w:val="0"/>
        <w:autoSpaceDN w:val="0"/>
        <w:snapToGrid w:val="0"/>
        <w:spacing w:line="360" w:lineRule="auto"/>
        <w:ind w:firstLine="422" w:firstLineChars="200"/>
        <w:textAlignment w:val="auto"/>
        <w:rPr>
          <w:rFonts w:ascii="宋体" w:hAnsi="宋体" w:cs="宋体"/>
          <w:b/>
          <w:szCs w:val="24"/>
        </w:rPr>
      </w:pPr>
      <w:r>
        <w:rPr>
          <w:rFonts w:hint="eastAsia" w:ascii="宋体" w:hAnsi="宋体" w:cs="宋体"/>
          <w:b/>
          <w:szCs w:val="24"/>
        </w:rPr>
        <w:t>八、违约责任</w:t>
      </w:r>
    </w:p>
    <w:p w14:paraId="5C74953B">
      <w:pPr>
        <w:spacing w:line="360" w:lineRule="auto"/>
        <w:ind w:firstLine="420" w:firstLineChars="200"/>
        <w:rPr>
          <w:rFonts w:ascii="宋体" w:hAnsi="宋体"/>
        </w:rPr>
      </w:pPr>
      <w:r>
        <w:rPr>
          <w:rFonts w:hint="eastAsia" w:ascii="宋体" w:hAnsi="宋体"/>
        </w:rPr>
        <w:t>1、按《</w:t>
      </w:r>
      <w:r>
        <w:rPr>
          <w:rFonts w:hint="eastAsia" w:ascii="宋体" w:hAnsi="宋体" w:cs="宋体"/>
          <w:szCs w:val="24"/>
        </w:rPr>
        <w:t>中华人民共和国民法典</w:t>
      </w:r>
      <w:r>
        <w:rPr>
          <w:rFonts w:hint="eastAsia" w:ascii="宋体" w:hAnsi="宋体"/>
        </w:rPr>
        <w:t>》中的相关条款执行。</w:t>
      </w:r>
    </w:p>
    <w:p w14:paraId="0B5B9465">
      <w:pPr>
        <w:spacing w:line="360" w:lineRule="auto"/>
        <w:ind w:firstLine="420" w:firstLineChars="200"/>
        <w:rPr>
          <w:rFonts w:ascii="宋体" w:hAnsi="宋体"/>
        </w:rPr>
      </w:pPr>
      <w:r>
        <w:rPr>
          <w:rFonts w:hint="eastAsia" w:ascii="宋体" w:hAnsi="宋体"/>
        </w:rPr>
        <w:t>2、乙方履约延误</w:t>
      </w:r>
    </w:p>
    <w:p w14:paraId="644B871E">
      <w:pPr>
        <w:spacing w:line="360" w:lineRule="auto"/>
        <w:ind w:firstLine="420" w:firstLineChars="200"/>
        <w:rPr>
          <w:rFonts w:ascii="宋体" w:hAnsi="宋体"/>
        </w:rPr>
      </w:pPr>
      <w:r>
        <w:rPr>
          <w:rFonts w:hint="eastAsia" w:ascii="宋体" w:hAnsi="宋体"/>
        </w:rPr>
        <w:t>2-1、如乙方事先未征得甲方同意并得到甲方的谅解而单方面延迟服务期，将按违约终止合同。</w:t>
      </w:r>
    </w:p>
    <w:p w14:paraId="4C9D947C">
      <w:pPr>
        <w:spacing w:line="360" w:lineRule="auto"/>
        <w:ind w:firstLine="420" w:firstLineChars="200"/>
        <w:rPr>
          <w:rFonts w:ascii="宋体" w:hAnsi="宋体"/>
        </w:rPr>
      </w:pPr>
      <w:r>
        <w:rPr>
          <w:rFonts w:hint="eastAsia" w:ascii="宋体" w:hAnsi="宋体"/>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72518E09">
      <w:pPr>
        <w:spacing w:line="360" w:lineRule="auto"/>
        <w:ind w:firstLine="420" w:firstLineChars="200"/>
        <w:rPr>
          <w:rFonts w:ascii="宋体" w:hAnsi="宋体"/>
        </w:rPr>
      </w:pPr>
      <w:r>
        <w:rPr>
          <w:rFonts w:hint="eastAsia" w:ascii="宋体" w:hAnsi="宋体"/>
        </w:rPr>
        <w:t>3、因采购人原因导制变更、中止或者终止政府采购合同的，采购人应当依照合同约定对供应商受到的损失予以赔偿或者补偿。</w:t>
      </w:r>
    </w:p>
    <w:p w14:paraId="4CE7FCBE">
      <w:pPr>
        <w:spacing w:line="360" w:lineRule="auto"/>
        <w:ind w:firstLine="420" w:firstLineChars="200"/>
        <w:rPr>
          <w:rFonts w:ascii="宋体" w:hAnsi="宋体"/>
        </w:rPr>
      </w:pPr>
      <w:r>
        <w:rPr>
          <w:rFonts w:hint="eastAsia" w:ascii="宋体" w:hAnsi="宋体"/>
        </w:rPr>
        <w:t>3、违约终止合同：未按合同要求提供服务或不能满足技术要求，甲方会同监督机构有权终止合同，对乙方违约行为进行追究，同时按政府采购法的有关规定进行相应的处罚。</w:t>
      </w:r>
    </w:p>
    <w:p w14:paraId="75789156">
      <w:pPr>
        <w:autoSpaceDE w:val="0"/>
        <w:autoSpaceDN w:val="0"/>
        <w:snapToGrid w:val="0"/>
        <w:spacing w:line="360" w:lineRule="auto"/>
        <w:ind w:firstLine="422" w:firstLineChars="200"/>
        <w:textAlignment w:val="auto"/>
        <w:rPr>
          <w:rFonts w:ascii="宋体" w:hAnsi="宋体" w:cs="宋体"/>
          <w:b/>
          <w:szCs w:val="24"/>
        </w:rPr>
      </w:pPr>
      <w:bookmarkStart w:id="0" w:name="_Toc3479854"/>
      <w:r>
        <w:rPr>
          <w:rFonts w:hint="eastAsia" w:ascii="宋体" w:hAnsi="宋体" w:cs="宋体"/>
          <w:b/>
          <w:szCs w:val="24"/>
        </w:rPr>
        <w:t>九、合同组成</w:t>
      </w:r>
      <w:bookmarkEnd w:id="0"/>
    </w:p>
    <w:p w14:paraId="0E59F870">
      <w:pPr>
        <w:spacing w:line="360" w:lineRule="auto"/>
        <w:ind w:firstLine="420" w:firstLineChars="200"/>
        <w:rPr>
          <w:rFonts w:ascii="宋体" w:hAnsi="宋体"/>
        </w:rPr>
      </w:pPr>
      <w:r>
        <w:rPr>
          <w:rFonts w:hint="eastAsia" w:ascii="宋体" w:hAnsi="宋体" w:cs="宋体"/>
          <w:bCs/>
        </w:rPr>
        <w:t>成交通知书、合同文件、竞争性磋商文件、磋商响应文件、国家相关规范及标准等</w:t>
      </w:r>
    </w:p>
    <w:p w14:paraId="5D56A455">
      <w:pPr>
        <w:autoSpaceDE w:val="0"/>
        <w:autoSpaceDN w:val="0"/>
        <w:snapToGrid w:val="0"/>
        <w:spacing w:line="360" w:lineRule="auto"/>
        <w:ind w:firstLine="422" w:firstLineChars="200"/>
        <w:textAlignment w:val="auto"/>
        <w:rPr>
          <w:rFonts w:ascii="宋体" w:hAnsi="宋体" w:cs="宋体"/>
          <w:b/>
          <w:szCs w:val="24"/>
        </w:rPr>
      </w:pPr>
      <w:bookmarkStart w:id="1" w:name="_Toc3479855"/>
      <w:r>
        <w:rPr>
          <w:rFonts w:hint="eastAsia" w:ascii="宋体" w:hAnsi="宋体" w:cs="宋体"/>
          <w:b/>
          <w:szCs w:val="24"/>
        </w:rPr>
        <w:t>十、解决争议的方法</w:t>
      </w:r>
      <w:bookmarkEnd w:id="1"/>
    </w:p>
    <w:p w14:paraId="53EF2D9D">
      <w:pPr>
        <w:spacing w:line="360" w:lineRule="auto"/>
        <w:ind w:firstLine="420" w:firstLineChars="200"/>
        <w:rPr>
          <w:rFonts w:ascii="宋体" w:hAnsi="宋体"/>
        </w:rPr>
      </w:pPr>
      <w:r>
        <w:rPr>
          <w:rFonts w:hint="eastAsia" w:ascii="宋体" w:hAnsi="宋体"/>
        </w:rPr>
        <w:t>凡因本合同引起的或与本合同有关的争议，双方应友好协商解决。协商不成时，双方均同意采用以下第（  ）种争议解决方式：</w:t>
      </w:r>
    </w:p>
    <w:p w14:paraId="1CB49499">
      <w:pPr>
        <w:spacing w:line="360" w:lineRule="auto"/>
        <w:ind w:firstLine="420" w:firstLineChars="200"/>
        <w:rPr>
          <w:rFonts w:ascii="宋体" w:hAnsi="宋体"/>
        </w:rPr>
      </w:pPr>
      <w:r>
        <w:rPr>
          <w:rFonts w:hint="eastAsia" w:ascii="宋体" w:hAnsi="宋体"/>
        </w:rPr>
        <w:t>（1）甲、乙双方均同意向（甲方所在地人民法院）提起诉讼。</w:t>
      </w:r>
    </w:p>
    <w:p w14:paraId="4C50DC20">
      <w:pPr>
        <w:spacing w:line="360" w:lineRule="auto"/>
        <w:ind w:firstLine="420" w:firstLineChars="200"/>
        <w:rPr>
          <w:rFonts w:ascii="宋体" w:hAnsi="宋体"/>
        </w:rPr>
      </w:pPr>
      <w:r>
        <w:rPr>
          <w:rFonts w:hint="eastAsia" w:ascii="宋体" w:hAnsi="宋体"/>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hint="eastAsia" w:ascii="宋体" w:hAnsi="宋体"/>
        </w:rPr>
        <w:t>仲裁委员会</w:t>
      </w:r>
      <w:r>
        <w:rPr>
          <w:rFonts w:hint="eastAsia" w:ascii="宋体" w:hAnsi="宋体"/>
        </w:rPr>
        <w:fldChar w:fldCharType="end"/>
      </w:r>
      <w:r>
        <w:rPr>
          <w:rFonts w:hint="eastAsia" w:ascii="宋体" w:hAnsi="宋体"/>
        </w:rPr>
        <w:t>）提起仲裁。</w:t>
      </w:r>
    </w:p>
    <w:p w14:paraId="11CACB27">
      <w:pPr>
        <w:spacing w:line="360" w:lineRule="auto"/>
        <w:ind w:firstLine="420" w:firstLineChars="200"/>
        <w:rPr>
          <w:rFonts w:ascii="宋体" w:hAnsi="宋体"/>
        </w:rPr>
      </w:pPr>
      <w:bookmarkStart w:id="2" w:name="_Toc3479856"/>
      <w:r>
        <w:rPr>
          <w:rFonts w:hint="eastAsia" w:ascii="宋体" w:hAnsi="宋体"/>
        </w:rPr>
        <w:t>九、合同生效及其它</w:t>
      </w:r>
      <w:bookmarkEnd w:id="2"/>
    </w:p>
    <w:p w14:paraId="7CD2DE59">
      <w:pPr>
        <w:spacing w:line="360" w:lineRule="auto"/>
        <w:ind w:firstLine="420" w:firstLineChars="200"/>
        <w:rPr>
          <w:rFonts w:ascii="宋体" w:hAnsi="宋体"/>
        </w:rPr>
      </w:pPr>
      <w:r>
        <w:rPr>
          <w:rFonts w:hint="eastAsia" w:ascii="宋体" w:hAnsi="宋体"/>
        </w:rPr>
        <w:t>1、合同未尽事宜、由甲、乙双方协商，作为合同补充，与原合同具有同等法律效力。</w:t>
      </w:r>
    </w:p>
    <w:p w14:paraId="2806E8C9">
      <w:pPr>
        <w:spacing w:line="360" w:lineRule="auto"/>
        <w:ind w:firstLine="420" w:firstLineChars="200"/>
        <w:rPr>
          <w:rFonts w:ascii="宋体" w:hAnsi="宋体"/>
        </w:rPr>
      </w:pPr>
      <w:r>
        <w:rPr>
          <w:rFonts w:hint="eastAsia" w:ascii="宋体" w:hAnsi="宋体"/>
        </w:rPr>
        <w:t>2、 本合同正本一式</w:t>
      </w:r>
      <w:r>
        <w:rPr>
          <w:rFonts w:hint="eastAsia" w:ascii="宋体" w:hAnsi="宋体"/>
          <w:u w:val="single"/>
        </w:rPr>
        <w:t xml:space="preserve">  </w:t>
      </w:r>
      <w:r>
        <w:rPr>
          <w:rFonts w:hint="eastAsia" w:ascii="宋体" w:hAnsi="宋体"/>
        </w:rPr>
        <w:t>份，甲方、乙方双方分别执</w:t>
      </w:r>
      <w:r>
        <w:rPr>
          <w:rFonts w:hint="eastAsia" w:ascii="宋体" w:hAnsi="宋体"/>
          <w:u w:val="single"/>
        </w:rPr>
        <w:t xml:space="preserve">  </w:t>
      </w:r>
      <w:r>
        <w:rPr>
          <w:rFonts w:hint="eastAsia" w:ascii="宋体" w:hAnsi="宋体"/>
        </w:rPr>
        <w:t>份，备案</w:t>
      </w:r>
      <w:r>
        <w:rPr>
          <w:rFonts w:hint="eastAsia" w:ascii="宋体" w:hAnsi="宋体"/>
          <w:u w:val="single"/>
        </w:rPr>
        <w:t xml:space="preserve">  </w:t>
      </w:r>
      <w:r>
        <w:rPr>
          <w:rFonts w:hint="eastAsia" w:ascii="宋体" w:hAnsi="宋体"/>
        </w:rPr>
        <w:t>份。</w:t>
      </w:r>
    </w:p>
    <w:p w14:paraId="45805739">
      <w:pPr>
        <w:spacing w:line="360" w:lineRule="auto"/>
        <w:ind w:firstLine="420" w:firstLineChars="200"/>
        <w:rPr>
          <w:rFonts w:ascii="宋体" w:hAnsi="宋体"/>
        </w:rPr>
      </w:pPr>
      <w:r>
        <w:rPr>
          <w:rFonts w:hint="eastAsia" w:ascii="宋体" w:hAnsi="宋体"/>
        </w:rPr>
        <w:t>3、合同经甲乙双方盖章、签字后生效，合同签订地点为</w:t>
      </w:r>
      <w:r>
        <w:rPr>
          <w:rFonts w:hint="eastAsia" w:ascii="宋体" w:hAnsi="宋体"/>
          <w:u w:val="single"/>
        </w:rPr>
        <w:t xml:space="preserve">       </w:t>
      </w:r>
      <w:r>
        <w:rPr>
          <w:rFonts w:hint="eastAsia" w:ascii="宋体" w:hAnsi="宋体"/>
        </w:rPr>
        <w:t>。</w:t>
      </w:r>
    </w:p>
    <w:p w14:paraId="5707F197">
      <w:pPr>
        <w:spacing w:line="360" w:lineRule="auto"/>
        <w:ind w:firstLine="420" w:firstLineChars="200"/>
        <w:rPr>
          <w:rFonts w:ascii="宋体" w:hAnsi="宋体"/>
        </w:rPr>
      </w:pPr>
      <w:r>
        <w:rPr>
          <w:rFonts w:hint="eastAsia" w:ascii="宋体" w:hAnsi="宋体"/>
        </w:rPr>
        <w:t>4、生效时间：   年  月  日</w:t>
      </w:r>
    </w:p>
    <w:tbl>
      <w:tblPr>
        <w:tblStyle w:val="11"/>
        <w:tblW w:w="9380" w:type="dxa"/>
        <w:jc w:val="center"/>
        <w:tblLayout w:type="fixed"/>
        <w:tblCellMar>
          <w:top w:w="0" w:type="dxa"/>
          <w:left w:w="108" w:type="dxa"/>
          <w:bottom w:w="0" w:type="dxa"/>
          <w:right w:w="108" w:type="dxa"/>
        </w:tblCellMar>
      </w:tblPr>
      <w:tblGrid>
        <w:gridCol w:w="4690"/>
        <w:gridCol w:w="4690"/>
      </w:tblGrid>
      <w:tr w14:paraId="5721E56B">
        <w:tblPrEx>
          <w:tblCellMar>
            <w:top w:w="0" w:type="dxa"/>
            <w:left w:w="108" w:type="dxa"/>
            <w:bottom w:w="0" w:type="dxa"/>
            <w:right w:w="108" w:type="dxa"/>
          </w:tblCellMar>
        </w:tblPrEx>
        <w:trPr>
          <w:trHeight w:val="2855" w:hRule="atLeast"/>
          <w:jc w:val="center"/>
        </w:trPr>
        <w:tc>
          <w:tcPr>
            <w:tcW w:w="4690" w:type="dxa"/>
          </w:tcPr>
          <w:p w14:paraId="383083F6">
            <w:pPr>
              <w:widowControl/>
              <w:autoSpaceDE w:val="0"/>
              <w:autoSpaceDN w:val="0"/>
              <w:snapToGrid w:val="0"/>
              <w:spacing w:line="360" w:lineRule="auto"/>
              <w:ind w:right="-154"/>
              <w:textAlignment w:val="bottom"/>
              <w:rPr>
                <w:rFonts w:ascii="宋体" w:hAnsi="宋体" w:cs="宋体"/>
                <w:szCs w:val="24"/>
              </w:rPr>
            </w:pPr>
            <w:r>
              <w:rPr>
                <w:rFonts w:hint="eastAsia" w:ascii="宋体" w:hAnsi="宋体" w:cs="宋体"/>
                <w:szCs w:val="24"/>
              </w:rPr>
              <w:t>甲方名称</w:t>
            </w:r>
            <w:r>
              <w:rPr>
                <w:rFonts w:hint="eastAsia" w:ascii="宋体" w:hAnsi="宋体" w:cs="宋体"/>
                <w:spacing w:val="-20"/>
                <w:szCs w:val="24"/>
              </w:rPr>
              <w:t>（盖章）</w:t>
            </w:r>
            <w:r>
              <w:rPr>
                <w:rFonts w:hint="eastAsia" w:ascii="宋体" w:hAnsi="宋体" w:cs="宋体"/>
                <w:szCs w:val="24"/>
              </w:rPr>
              <w:t>：</w:t>
            </w:r>
          </w:p>
          <w:p w14:paraId="79062A55">
            <w:pPr>
              <w:widowControl/>
              <w:autoSpaceDE w:val="0"/>
              <w:autoSpaceDN w:val="0"/>
              <w:snapToGrid w:val="0"/>
              <w:spacing w:line="360" w:lineRule="auto"/>
              <w:ind w:right="-154"/>
              <w:textAlignment w:val="bottom"/>
              <w:rPr>
                <w:rFonts w:ascii="宋体" w:hAnsi="宋体" w:cs="宋体"/>
                <w:szCs w:val="24"/>
              </w:rPr>
            </w:pPr>
            <w:r>
              <w:rPr>
                <w:rFonts w:hint="eastAsia" w:ascii="宋体" w:hAnsi="宋体" w:cs="宋体"/>
                <w:szCs w:val="24"/>
              </w:rPr>
              <w:t>地址：</w:t>
            </w:r>
          </w:p>
          <w:p w14:paraId="182599B1">
            <w:pPr>
              <w:widowControl/>
              <w:autoSpaceDE w:val="0"/>
              <w:autoSpaceDN w:val="0"/>
              <w:snapToGrid w:val="0"/>
              <w:spacing w:line="360" w:lineRule="auto"/>
              <w:ind w:right="-154"/>
              <w:textAlignment w:val="bottom"/>
              <w:rPr>
                <w:rFonts w:ascii="宋体" w:hAnsi="宋体" w:cs="宋体"/>
                <w:szCs w:val="24"/>
              </w:rPr>
            </w:pPr>
            <w:r>
              <w:rPr>
                <w:rFonts w:hint="eastAsia" w:ascii="宋体" w:hAnsi="宋体" w:cs="宋体"/>
                <w:szCs w:val="24"/>
              </w:rPr>
              <w:t>代表人（签字）：</w:t>
            </w:r>
          </w:p>
          <w:p w14:paraId="7D73C25B">
            <w:pPr>
              <w:widowControl/>
              <w:autoSpaceDE w:val="0"/>
              <w:autoSpaceDN w:val="0"/>
              <w:snapToGrid w:val="0"/>
              <w:spacing w:line="360" w:lineRule="auto"/>
              <w:ind w:right="-154"/>
              <w:textAlignment w:val="bottom"/>
              <w:rPr>
                <w:rFonts w:ascii="宋体" w:hAnsi="宋体" w:cs="宋体"/>
                <w:szCs w:val="24"/>
              </w:rPr>
            </w:pPr>
            <w:r>
              <w:rPr>
                <w:rFonts w:hint="eastAsia" w:ascii="宋体" w:hAnsi="宋体" w:cs="宋体"/>
                <w:szCs w:val="24"/>
              </w:rPr>
              <w:t>电话：</w:t>
            </w:r>
          </w:p>
          <w:p w14:paraId="673F54D2">
            <w:pPr>
              <w:widowControl/>
              <w:autoSpaceDE w:val="0"/>
              <w:autoSpaceDN w:val="0"/>
              <w:snapToGrid w:val="0"/>
              <w:spacing w:line="360" w:lineRule="auto"/>
              <w:ind w:right="-154"/>
              <w:textAlignment w:val="bottom"/>
              <w:rPr>
                <w:rFonts w:ascii="宋体" w:hAnsi="宋体" w:cs="宋体"/>
                <w:szCs w:val="24"/>
              </w:rPr>
            </w:pPr>
            <w:r>
              <w:rPr>
                <w:rFonts w:hint="eastAsia" w:ascii="宋体" w:hAnsi="宋体" w:cs="宋体"/>
                <w:szCs w:val="24"/>
              </w:rPr>
              <w:t>开户银行：</w:t>
            </w:r>
          </w:p>
          <w:p w14:paraId="3CBBAFE4">
            <w:pPr>
              <w:widowControl/>
              <w:autoSpaceDE w:val="0"/>
              <w:autoSpaceDN w:val="0"/>
              <w:snapToGrid w:val="0"/>
              <w:spacing w:line="360" w:lineRule="auto"/>
              <w:ind w:right="-154"/>
              <w:textAlignment w:val="bottom"/>
              <w:rPr>
                <w:rFonts w:ascii="宋体" w:hAnsi="宋体" w:cs="宋体"/>
                <w:szCs w:val="24"/>
              </w:rPr>
            </w:pPr>
            <w:r>
              <w:rPr>
                <w:rFonts w:hint="eastAsia" w:ascii="宋体" w:hAnsi="宋体" w:cs="宋体"/>
                <w:szCs w:val="24"/>
              </w:rPr>
              <w:t>账号：</w:t>
            </w:r>
          </w:p>
        </w:tc>
        <w:tc>
          <w:tcPr>
            <w:tcW w:w="4690" w:type="dxa"/>
          </w:tcPr>
          <w:p w14:paraId="41052CE7">
            <w:pPr>
              <w:widowControl/>
              <w:autoSpaceDE w:val="0"/>
              <w:autoSpaceDN w:val="0"/>
              <w:snapToGrid w:val="0"/>
              <w:spacing w:line="360" w:lineRule="auto"/>
              <w:ind w:right="-154"/>
              <w:textAlignment w:val="bottom"/>
              <w:rPr>
                <w:rFonts w:ascii="宋体" w:hAnsi="宋体" w:cs="宋体"/>
                <w:szCs w:val="24"/>
              </w:rPr>
            </w:pPr>
            <w:r>
              <w:rPr>
                <w:rFonts w:hint="eastAsia" w:ascii="宋体" w:hAnsi="宋体" w:cs="宋体"/>
                <w:szCs w:val="24"/>
              </w:rPr>
              <w:t>乙方名称</w:t>
            </w:r>
            <w:r>
              <w:rPr>
                <w:rFonts w:hint="eastAsia" w:ascii="宋体" w:hAnsi="宋体" w:cs="宋体"/>
                <w:spacing w:val="-20"/>
                <w:szCs w:val="24"/>
              </w:rPr>
              <w:t>（盖章）：</w:t>
            </w:r>
          </w:p>
          <w:p w14:paraId="4604D085">
            <w:pPr>
              <w:widowControl/>
              <w:autoSpaceDE w:val="0"/>
              <w:autoSpaceDN w:val="0"/>
              <w:snapToGrid w:val="0"/>
              <w:spacing w:line="360" w:lineRule="auto"/>
              <w:ind w:right="-154"/>
              <w:textAlignment w:val="bottom"/>
              <w:rPr>
                <w:rFonts w:ascii="宋体" w:hAnsi="宋体" w:cs="宋体"/>
                <w:szCs w:val="24"/>
              </w:rPr>
            </w:pPr>
            <w:r>
              <w:rPr>
                <w:rFonts w:hint="eastAsia" w:ascii="宋体" w:hAnsi="宋体" w:cs="宋体"/>
                <w:szCs w:val="24"/>
              </w:rPr>
              <w:t>地址：</w:t>
            </w:r>
          </w:p>
          <w:p w14:paraId="2179A5A6">
            <w:pPr>
              <w:widowControl/>
              <w:autoSpaceDE w:val="0"/>
              <w:autoSpaceDN w:val="0"/>
              <w:snapToGrid w:val="0"/>
              <w:spacing w:line="360" w:lineRule="auto"/>
              <w:ind w:right="-154"/>
              <w:textAlignment w:val="bottom"/>
              <w:rPr>
                <w:rFonts w:ascii="宋体" w:hAnsi="宋体" w:cs="宋体"/>
                <w:szCs w:val="24"/>
              </w:rPr>
            </w:pPr>
            <w:r>
              <w:rPr>
                <w:rFonts w:hint="eastAsia" w:ascii="宋体" w:hAnsi="宋体" w:cs="宋体"/>
                <w:szCs w:val="24"/>
              </w:rPr>
              <w:t>代表人（签字）：</w:t>
            </w:r>
          </w:p>
          <w:p w14:paraId="6247E1D1">
            <w:pPr>
              <w:widowControl/>
              <w:autoSpaceDE w:val="0"/>
              <w:autoSpaceDN w:val="0"/>
              <w:snapToGrid w:val="0"/>
              <w:spacing w:line="360" w:lineRule="auto"/>
              <w:ind w:right="-154"/>
              <w:textAlignment w:val="bottom"/>
              <w:rPr>
                <w:rFonts w:ascii="宋体" w:hAnsi="宋体" w:cs="宋体"/>
                <w:szCs w:val="24"/>
              </w:rPr>
            </w:pPr>
            <w:r>
              <w:rPr>
                <w:rFonts w:hint="eastAsia" w:ascii="宋体" w:hAnsi="宋体" w:cs="宋体"/>
                <w:szCs w:val="24"/>
              </w:rPr>
              <w:t>电话：</w:t>
            </w:r>
          </w:p>
          <w:p w14:paraId="68EFA5FB">
            <w:pPr>
              <w:widowControl/>
              <w:autoSpaceDE w:val="0"/>
              <w:autoSpaceDN w:val="0"/>
              <w:snapToGrid w:val="0"/>
              <w:spacing w:line="360" w:lineRule="auto"/>
              <w:ind w:right="-154"/>
              <w:textAlignment w:val="bottom"/>
              <w:rPr>
                <w:rFonts w:ascii="宋体" w:hAnsi="宋体" w:cs="宋体"/>
                <w:szCs w:val="24"/>
              </w:rPr>
            </w:pPr>
            <w:r>
              <w:rPr>
                <w:rFonts w:hint="eastAsia" w:ascii="宋体" w:hAnsi="宋体" w:cs="宋体"/>
                <w:szCs w:val="24"/>
              </w:rPr>
              <w:t>开户银行：</w:t>
            </w:r>
          </w:p>
          <w:p w14:paraId="108BB7D4">
            <w:pPr>
              <w:widowControl/>
              <w:autoSpaceDE w:val="0"/>
              <w:autoSpaceDN w:val="0"/>
              <w:snapToGrid w:val="0"/>
              <w:spacing w:line="360" w:lineRule="auto"/>
              <w:ind w:right="-154"/>
              <w:textAlignment w:val="bottom"/>
              <w:rPr>
                <w:rFonts w:ascii="宋体" w:hAnsi="宋体" w:cs="宋体"/>
                <w:szCs w:val="24"/>
              </w:rPr>
            </w:pPr>
            <w:r>
              <w:rPr>
                <w:rFonts w:hint="eastAsia" w:ascii="宋体" w:hAnsi="宋体" w:cs="宋体"/>
                <w:szCs w:val="24"/>
              </w:rPr>
              <w:t>账号：</w:t>
            </w:r>
          </w:p>
        </w:tc>
      </w:tr>
      <w:tr w14:paraId="30B322F4">
        <w:tblPrEx>
          <w:tblCellMar>
            <w:top w:w="0" w:type="dxa"/>
            <w:left w:w="108" w:type="dxa"/>
            <w:bottom w:w="0" w:type="dxa"/>
            <w:right w:w="108" w:type="dxa"/>
          </w:tblCellMar>
        </w:tblPrEx>
        <w:trPr>
          <w:trHeight w:val="753" w:hRule="atLeast"/>
          <w:jc w:val="center"/>
        </w:trPr>
        <w:tc>
          <w:tcPr>
            <w:tcW w:w="4690" w:type="dxa"/>
          </w:tcPr>
          <w:p w14:paraId="4E32E5BA">
            <w:pPr>
              <w:widowControl/>
              <w:autoSpaceDE w:val="0"/>
              <w:autoSpaceDN w:val="0"/>
              <w:snapToGrid w:val="0"/>
              <w:spacing w:line="360" w:lineRule="auto"/>
              <w:ind w:right="-154"/>
              <w:textAlignment w:val="bottom"/>
              <w:rPr>
                <w:rFonts w:ascii="宋体" w:hAnsi="宋体" w:cs="宋体"/>
                <w:szCs w:val="24"/>
              </w:rPr>
            </w:pPr>
            <w:r>
              <w:rPr>
                <w:rFonts w:hint="eastAsia" w:ascii="宋体" w:hAnsi="宋体" w:cs="宋体"/>
                <w:szCs w:val="24"/>
              </w:rPr>
              <w:t>鉴证方</w:t>
            </w:r>
            <w:r>
              <w:rPr>
                <w:rFonts w:hint="eastAsia" w:ascii="宋体" w:hAnsi="宋体" w:cs="宋体"/>
                <w:spacing w:val="-20"/>
                <w:szCs w:val="24"/>
              </w:rPr>
              <w:t>（盖章）</w:t>
            </w:r>
            <w:r>
              <w:rPr>
                <w:rFonts w:hint="eastAsia" w:ascii="宋体" w:hAnsi="宋体" w:cs="宋体"/>
                <w:szCs w:val="24"/>
              </w:rPr>
              <w:t>：</w:t>
            </w:r>
          </w:p>
        </w:tc>
        <w:tc>
          <w:tcPr>
            <w:tcW w:w="4690" w:type="dxa"/>
          </w:tcPr>
          <w:p w14:paraId="17998C84">
            <w:pPr>
              <w:widowControl/>
              <w:autoSpaceDE w:val="0"/>
              <w:autoSpaceDN w:val="0"/>
              <w:snapToGrid w:val="0"/>
              <w:spacing w:line="360" w:lineRule="auto"/>
              <w:ind w:right="-154"/>
              <w:textAlignment w:val="bottom"/>
              <w:rPr>
                <w:rFonts w:ascii="宋体" w:hAnsi="宋体" w:cs="宋体"/>
                <w:szCs w:val="24"/>
              </w:rPr>
            </w:pPr>
          </w:p>
        </w:tc>
      </w:tr>
      <w:tr w14:paraId="75EB6FF7">
        <w:tblPrEx>
          <w:tblCellMar>
            <w:top w:w="0" w:type="dxa"/>
            <w:left w:w="108" w:type="dxa"/>
            <w:bottom w:w="0" w:type="dxa"/>
            <w:right w:w="108" w:type="dxa"/>
          </w:tblCellMar>
        </w:tblPrEx>
        <w:trPr>
          <w:trHeight w:val="753" w:hRule="atLeast"/>
          <w:jc w:val="center"/>
        </w:trPr>
        <w:tc>
          <w:tcPr>
            <w:tcW w:w="4690" w:type="dxa"/>
          </w:tcPr>
          <w:p w14:paraId="502F9D53">
            <w:pPr>
              <w:widowControl/>
              <w:autoSpaceDE w:val="0"/>
              <w:autoSpaceDN w:val="0"/>
              <w:snapToGrid w:val="0"/>
              <w:spacing w:line="360" w:lineRule="auto"/>
              <w:ind w:right="-154"/>
              <w:textAlignment w:val="bottom"/>
              <w:rPr>
                <w:rFonts w:ascii="宋体" w:hAnsi="宋体" w:cs="宋体"/>
                <w:szCs w:val="24"/>
              </w:rPr>
            </w:pPr>
            <w:r>
              <w:rPr>
                <w:rFonts w:hint="eastAsia" w:ascii="宋体" w:hAnsi="宋体" w:cs="宋体"/>
                <w:szCs w:val="24"/>
              </w:rPr>
              <w:t>地址：</w:t>
            </w:r>
          </w:p>
        </w:tc>
        <w:tc>
          <w:tcPr>
            <w:tcW w:w="4690" w:type="dxa"/>
          </w:tcPr>
          <w:p w14:paraId="492558FB">
            <w:pPr>
              <w:widowControl/>
              <w:autoSpaceDE w:val="0"/>
              <w:autoSpaceDN w:val="0"/>
              <w:snapToGrid w:val="0"/>
              <w:spacing w:line="360" w:lineRule="auto"/>
              <w:ind w:right="-154"/>
              <w:textAlignment w:val="bottom"/>
              <w:rPr>
                <w:rFonts w:ascii="宋体" w:hAnsi="宋体" w:cs="宋体"/>
                <w:szCs w:val="24"/>
              </w:rPr>
            </w:pPr>
          </w:p>
        </w:tc>
      </w:tr>
      <w:tr w14:paraId="111EEE24">
        <w:tblPrEx>
          <w:tblCellMar>
            <w:top w:w="0" w:type="dxa"/>
            <w:left w:w="108" w:type="dxa"/>
            <w:bottom w:w="0" w:type="dxa"/>
            <w:right w:w="108" w:type="dxa"/>
          </w:tblCellMar>
        </w:tblPrEx>
        <w:trPr>
          <w:trHeight w:val="753" w:hRule="atLeast"/>
          <w:jc w:val="center"/>
        </w:trPr>
        <w:tc>
          <w:tcPr>
            <w:tcW w:w="4690" w:type="dxa"/>
          </w:tcPr>
          <w:p w14:paraId="1E54E4B7">
            <w:pPr>
              <w:widowControl/>
              <w:autoSpaceDE w:val="0"/>
              <w:autoSpaceDN w:val="0"/>
              <w:snapToGrid w:val="0"/>
              <w:spacing w:line="360" w:lineRule="auto"/>
              <w:ind w:right="-154"/>
              <w:textAlignment w:val="bottom"/>
              <w:rPr>
                <w:rFonts w:ascii="宋体" w:hAnsi="宋体" w:cs="宋体"/>
                <w:szCs w:val="24"/>
              </w:rPr>
            </w:pPr>
            <w:r>
              <w:rPr>
                <w:rFonts w:hint="eastAsia" w:ascii="宋体" w:hAnsi="宋体" w:cs="宋体"/>
                <w:szCs w:val="24"/>
              </w:rPr>
              <w:t>代表人（签字）：</w:t>
            </w:r>
          </w:p>
        </w:tc>
        <w:tc>
          <w:tcPr>
            <w:tcW w:w="4690" w:type="dxa"/>
          </w:tcPr>
          <w:p w14:paraId="43C4D4EE">
            <w:pPr>
              <w:widowControl/>
              <w:autoSpaceDE w:val="0"/>
              <w:autoSpaceDN w:val="0"/>
              <w:snapToGrid w:val="0"/>
              <w:spacing w:line="360" w:lineRule="auto"/>
              <w:ind w:right="-154"/>
              <w:textAlignment w:val="bottom"/>
              <w:rPr>
                <w:rFonts w:ascii="宋体" w:hAnsi="宋体" w:cs="宋体"/>
                <w:szCs w:val="24"/>
              </w:rPr>
            </w:pPr>
          </w:p>
        </w:tc>
      </w:tr>
      <w:tr w14:paraId="2D8C78A8">
        <w:tblPrEx>
          <w:tblCellMar>
            <w:top w:w="0" w:type="dxa"/>
            <w:left w:w="108" w:type="dxa"/>
            <w:bottom w:w="0" w:type="dxa"/>
            <w:right w:w="108" w:type="dxa"/>
          </w:tblCellMar>
        </w:tblPrEx>
        <w:trPr>
          <w:trHeight w:val="753" w:hRule="atLeast"/>
          <w:jc w:val="center"/>
        </w:trPr>
        <w:tc>
          <w:tcPr>
            <w:tcW w:w="4690" w:type="dxa"/>
          </w:tcPr>
          <w:p w14:paraId="31B6FBEC">
            <w:pPr>
              <w:widowControl/>
              <w:autoSpaceDE w:val="0"/>
              <w:autoSpaceDN w:val="0"/>
              <w:snapToGrid w:val="0"/>
              <w:spacing w:line="360" w:lineRule="auto"/>
              <w:ind w:right="-154"/>
              <w:textAlignment w:val="bottom"/>
              <w:rPr>
                <w:rFonts w:ascii="宋体" w:hAnsi="宋体" w:cs="宋体"/>
                <w:szCs w:val="24"/>
              </w:rPr>
            </w:pPr>
            <w:r>
              <w:rPr>
                <w:rFonts w:hint="eastAsia" w:ascii="宋体" w:hAnsi="宋体" w:cs="宋体"/>
                <w:szCs w:val="24"/>
              </w:rPr>
              <w:t>电话：</w:t>
            </w:r>
          </w:p>
        </w:tc>
        <w:tc>
          <w:tcPr>
            <w:tcW w:w="4690" w:type="dxa"/>
          </w:tcPr>
          <w:p w14:paraId="46C9C56E">
            <w:pPr>
              <w:widowControl/>
              <w:autoSpaceDE w:val="0"/>
              <w:autoSpaceDN w:val="0"/>
              <w:snapToGrid w:val="0"/>
              <w:spacing w:line="360" w:lineRule="auto"/>
              <w:ind w:right="-154"/>
              <w:textAlignment w:val="bottom"/>
              <w:rPr>
                <w:rFonts w:ascii="宋体" w:hAnsi="宋体" w:cs="宋体"/>
                <w:szCs w:val="24"/>
              </w:rPr>
            </w:pPr>
          </w:p>
        </w:tc>
      </w:tr>
    </w:tbl>
    <w:p w14:paraId="02211988">
      <w:pPr>
        <w:pStyle w:val="14"/>
        <w:rPr>
          <w:rFonts w:hint="default" w:ascii="仿宋" w:hAnsi="仿宋" w:eastAsia="仿宋" w:cs="仿宋"/>
        </w:rPr>
      </w:pPr>
    </w:p>
    <w:p w14:paraId="297F077C"/>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0A32D5">
    <w:pPr>
      <w:pStyle w:val="2"/>
      <w:widowControl w:val="0"/>
      <w:pBdr>
        <w:top w:val="none" w:color="auto" w:sz="0" w:space="1"/>
        <w:left w:val="none" w:color="auto" w:sz="0" w:space="4"/>
        <w:bottom w:val="none" w:color="auto" w:sz="0" w:space="1"/>
        <w:right w:val="none" w:color="auto" w:sz="0" w:space="4"/>
        <w:between w:val="none" w:color="auto" w:sz="0" w:space="0"/>
      </w:pBdr>
      <w:spacing w:line="14" w:lineRule="auto"/>
      <w:jc w:val="both"/>
      <w:rPr>
        <w:sz w:val="20"/>
      </w:rPr>
    </w:pPr>
    <w:r>
      <mc:AlternateContent>
        <mc:Choice Requires="wps">
          <w:drawing>
            <wp:anchor distT="0" distB="0" distL="114300" distR="114300" simplePos="0" relativeHeight="251659264" behindDoc="1" locked="0" layoutInCell="1" allowOverlap="1">
              <wp:simplePos x="0" y="0"/>
              <wp:positionH relativeFrom="page">
                <wp:posOffset>1043305</wp:posOffset>
              </wp:positionH>
              <wp:positionV relativeFrom="page">
                <wp:posOffset>9612630</wp:posOffset>
              </wp:positionV>
              <wp:extent cx="5699125" cy="0"/>
              <wp:effectExtent l="0" t="4445" r="0" b="5080"/>
              <wp:wrapNone/>
              <wp:docPr id="33" name="直线 28"/>
              <wp:cNvGraphicFramePr/>
              <a:graphic xmlns:a="http://schemas.openxmlformats.org/drawingml/2006/main">
                <a:graphicData uri="http://schemas.microsoft.com/office/word/2010/wordprocessingShape">
                  <wps:wsp>
                    <wps:cNvCnPr/>
                    <wps:spPr>
                      <a:xfrm>
                        <a:off x="0" y="0"/>
                        <a:ext cx="5699125" cy="0"/>
                      </a:xfrm>
                      <a:prstGeom prst="line">
                        <a:avLst/>
                      </a:prstGeom>
                      <a:ln w="9144" cap="flat" cmpd="sng">
                        <a:solidFill>
                          <a:srgbClr val="000000"/>
                        </a:solidFill>
                        <a:prstDash val="solid"/>
                        <a:headEnd type="none" w="med" len="med"/>
                        <a:tailEnd type="none" w="med" len="med"/>
                      </a:ln>
                    </wps:spPr>
                    <wps:bodyPr/>
                  </wps:wsp>
                </a:graphicData>
              </a:graphic>
            </wp:anchor>
          </w:drawing>
        </mc:Choice>
        <mc:Fallback>
          <w:pict>
            <v:line id="直线 28" o:spid="_x0000_s1026" o:spt="20" style="position:absolute;left:0pt;margin-left:82.15pt;margin-top:756.9pt;height:0pt;width:448.75pt;mso-position-horizontal-relative:page;mso-position-vertical-relative:page;z-index:-251657216;mso-width-relative:page;mso-height-relative:page;" filled="f" stroked="t" coordsize="21600,21600" o:gfxdata="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ZAPVO1QAAAA4BAAAP&#10;AAAAAAAAAAEAIAAAACIAAABkcnMvZG93bnJldi54bWxQSwECFAAUAAAACACHTuJA1H0n8OIBAADR&#10;AwAADgAAAAAAAAABACAAAAAkAQAAZHJzL2Uyb0RvYy54bWxQSwUGAAAAAAYABgBZAQAAeAUAAAAA&#10;">
              <v:fill on="f" focussize="0,0"/>
              <v:stroke weight="0.72pt" color="#000000" joinstyle="round"/>
              <v:imagedata o:title=""/>
              <o:lock v:ext="edit" aspectratio="f"/>
            </v:lin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xODk4MmQyYjk5ZWVhMzNjYmRjZDg3MWY4ZjMxMTYifQ=="/>
  </w:docVars>
  <w:rsids>
    <w:rsidRoot w:val="00000000"/>
    <w:rsid w:val="03A008A0"/>
    <w:rsid w:val="06F16F3F"/>
    <w:rsid w:val="2AC820D2"/>
    <w:rsid w:val="380E7B02"/>
    <w:rsid w:val="4991640A"/>
    <w:rsid w:val="4A6823A4"/>
    <w:rsid w:val="4A973423"/>
    <w:rsid w:val="6A090C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1" w:semiHidden="0" w:name="heading 5"/>
    <w:lsdException w:qFormat="1" w:unhideWhenUsed="0" w:uiPriority="1"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qFormat/>
    <w:uiPriority w:val="0"/>
    <w:pPr>
      <w:keepNext/>
      <w:keepLines/>
      <w:spacing w:line="576" w:lineRule="auto"/>
      <w:jc w:val="center"/>
      <w:outlineLvl w:val="0"/>
    </w:pPr>
    <w:rPr>
      <w:b/>
      <w:kern w:val="44"/>
      <w:sz w:val="32"/>
    </w:rPr>
  </w:style>
  <w:style w:type="paragraph" w:styleId="4">
    <w:name w:val="heading 5"/>
    <w:basedOn w:val="1"/>
    <w:qFormat/>
    <w:uiPriority w:val="1"/>
    <w:pPr>
      <w:ind w:left="2679"/>
      <w:outlineLvl w:val="4"/>
    </w:pPr>
    <w:rPr>
      <w:rFonts w:ascii="仿宋" w:hAnsi="仿宋" w:eastAsia="仿宋" w:cs="仿宋"/>
      <w:sz w:val="28"/>
      <w:szCs w:val="28"/>
    </w:rPr>
  </w:style>
  <w:style w:type="paragraph" w:styleId="5">
    <w:name w:val="heading 6"/>
    <w:basedOn w:val="1"/>
    <w:qFormat/>
    <w:uiPriority w:val="1"/>
    <w:pPr>
      <w:ind w:left="440"/>
      <w:outlineLvl w:val="5"/>
    </w:pPr>
    <w:rPr>
      <w:rFonts w:ascii="仿宋" w:hAnsi="仿宋" w:eastAsia="仿宋" w:cs="仿宋"/>
      <w:b/>
      <w:bCs/>
      <w:sz w:val="24"/>
      <w:szCs w:val="2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style>
  <w:style w:type="paragraph" w:styleId="6">
    <w:name w:val="annotation text"/>
    <w:basedOn w:val="1"/>
    <w:qFormat/>
    <w:uiPriority w:val="0"/>
    <w:pPr>
      <w:jc w:val="left"/>
    </w:p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Subtitle"/>
    <w:basedOn w:val="1"/>
    <w:next w:val="1"/>
    <w:qFormat/>
    <w:uiPriority w:val="0"/>
    <w:pPr>
      <w:spacing w:before="240" w:after="60" w:line="312" w:lineRule="auto"/>
      <w:jc w:val="center"/>
      <w:outlineLvl w:val="1"/>
    </w:pPr>
    <w:rPr>
      <w:rFonts w:ascii="Cambria" w:hAnsi="Cambria"/>
      <w:b/>
      <w:bCs/>
      <w:kern w:val="28"/>
      <w:sz w:val="32"/>
      <w:szCs w:val="32"/>
    </w:rPr>
  </w:style>
  <w:style w:type="paragraph" w:styleId="10">
    <w:name w:val="footnote text"/>
    <w:basedOn w:val="1"/>
    <w:unhideWhenUsed/>
    <w:qFormat/>
    <w:uiPriority w:val="99"/>
    <w:pPr>
      <w:snapToGrid w:val="0"/>
      <w:spacing w:line="360" w:lineRule="auto"/>
      <w:ind w:firstLine="200" w:firstLineChars="200"/>
      <w:jc w:val="left"/>
    </w:pPr>
    <w:rPr>
      <w:kern w:val="0"/>
      <w:sz w:val="18"/>
      <w:szCs w:val="18"/>
    </w:rPr>
  </w:style>
  <w:style w:type="paragraph" w:styleId="13">
    <w:name w:val="List Paragraph"/>
    <w:basedOn w:val="1"/>
    <w:autoRedefine/>
    <w:qFormat/>
    <w:uiPriority w:val="34"/>
    <w:pPr>
      <w:ind w:firstLine="420" w:firstLineChars="200"/>
    </w:pPr>
    <w:rPr>
      <w:rFonts w:ascii="Calibri" w:hAnsi="Calibri"/>
      <w:szCs w:val="22"/>
    </w:rPr>
  </w:style>
  <w:style w:type="paragraph" w:customStyle="1" w:styleId="1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1472</Words>
  <Characters>1507</Characters>
  <Lines>0</Lines>
  <Paragraphs>0</Paragraphs>
  <TotalTime>44</TotalTime>
  <ScaleCrop>false</ScaleCrop>
  <LinksUpToDate>false</LinksUpToDate>
  <CharactersWithSpaces>1573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2025-04-16T15:25:00Z</dcterms:created>
  <dc:creator>lenovo</dc:creator>
  <cp:lastModifiedBy>趁早</cp:lastModifiedBy>
  <dcterms:modified xsi:type="dcterms:W3CDTF">2025-06-30T09:13:07Z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eyJoZGlkIjoiYzJhMWI3NGJiYWY1M2I2N2YyZjJlMjEzNjIzYzA1MjAiLCJ1c2VySWQiOiIyNDE1Nzk0OTUifQ==</vt:lpwstr>
  </property>
  <property fmtid="{D5CDD505-2E9C-101B-9397-08002B2CF9AE}" pid="4" name="ICV">
    <vt:lpwstr>98A918F45F374100A088BD6986D5B95E_12</vt:lpwstr>
  </property>
</Properties>
</file>