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版本号：WSQ-2025-43020250630001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336国道神木市东过境北延伸工程项目基本建设考古勘探</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WSQ-2025-430</w:t>
      </w:r>
      <w:r>
        <w:br/>
      </w:r>
      <w:r>
        <w:br/>
      </w:r>
      <w:r>
        <w:br/>
      </w:r>
    </w:p>
    <w:p>
      <w:pPr>
        <w:pStyle w:val="null3"/>
        <w:jc w:val="center"/>
        <w:outlineLvl w:val="2"/>
      </w:pPr>
      <w:r>
        <w:rPr>
          <w:rFonts w:ascii="仿宋_GB2312" w:hAnsi="仿宋_GB2312" w:cs="仿宋_GB2312" w:eastAsia="仿宋_GB2312"/>
          <w:sz w:val="28"/>
          <w:b/>
        </w:rPr>
        <w:t>陕西省考古研究院</w:t>
      </w:r>
    </w:p>
    <w:p>
      <w:pPr>
        <w:pStyle w:val="null3"/>
        <w:jc w:val="center"/>
        <w:outlineLvl w:val="2"/>
      </w:pPr>
      <w:r>
        <w:rPr>
          <w:rFonts w:ascii="仿宋_GB2312" w:hAnsi="仿宋_GB2312" w:cs="仿宋_GB2312" w:eastAsia="仿宋_GB2312"/>
          <w:sz w:val="28"/>
          <w:b/>
        </w:rPr>
        <w:t>陕西旺生泉项目管理有限公司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2025年06月30日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陕西旺生泉项目管理有限公司</w:t>
      </w:r>
      <w:r>
        <w:rPr>
          <w:rFonts w:ascii="仿宋_GB2312" w:hAnsi="仿宋_GB2312" w:cs="仿宋_GB2312" w:eastAsia="仿宋_GB2312"/>
        </w:rPr>
        <w:t>（以下简称“代理机构”）受</w:t>
      </w:r>
      <w:r>
        <w:rPr>
          <w:rFonts w:ascii="仿宋_GB2312" w:hAnsi="仿宋_GB2312" w:cs="仿宋_GB2312" w:eastAsia="仿宋_GB2312"/>
        </w:rPr>
        <w:t>陕西省考古研究院</w:t>
      </w:r>
      <w:r>
        <w:rPr>
          <w:rFonts w:ascii="仿宋_GB2312" w:hAnsi="仿宋_GB2312" w:cs="仿宋_GB2312" w:eastAsia="仿宋_GB2312"/>
        </w:rPr>
        <w:t>委托，拟对</w:t>
      </w:r>
      <w:r>
        <w:rPr>
          <w:rFonts w:ascii="仿宋_GB2312" w:hAnsi="仿宋_GB2312" w:cs="仿宋_GB2312" w:eastAsia="仿宋_GB2312"/>
        </w:rPr>
        <w:t>336国道神木市东过境北延伸工程项目基本建设考古勘探</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WSQ-2025-430</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336国道神木市东过境北延伸工程项目基本建设考古勘探</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项目位于陕西省神木市，面积为298312.00㎡，服务期：50个工作日。必须严格按照《考古勘探工作规程》（试行）进行施工。普探布点间距为梅花孔1米布设，加点位置偏差小于20厘米，深度为天然原始土层以下10厘米，对勘探出的古遗址、古墓葬等古文化遗迹做好绘图、照相、测绘、定点等工作。必须有勘探工作日志及原始资料记录。</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采购包1（336国道神木市东过境北延伸工程项目考古勘探劳务协作）：属于专门面向中小企业采购。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具有独立承担民事责任能力的法人、其他组织或自然人，提供合法有效的统一社会信用代码营业执照（事业单位提供事业单位法人证书，自然人提供身份证明）；供应商需在项目电子化交易系统中按要求上传相应证明文件并进行电子签章；</w:t>
      </w:r>
    </w:p>
    <w:p>
      <w:pPr>
        <w:pStyle w:val="null3"/>
      </w:pPr>
      <w:r>
        <w:rPr>
          <w:rFonts w:ascii="仿宋_GB2312" w:hAnsi="仿宋_GB2312" w:cs="仿宋_GB2312" w:eastAsia="仿宋_GB2312"/>
        </w:rPr>
        <w:t>2、财务状况审查：财务状况报告：提供2023年度或2024年度完整的经审计的财务报告（包括“四表一注”，即资产负债表、利润表、现金流量表、所有者权益变动表及其附注，成立时间至提交响应文件截止时间不足一年的可提供成立后任意时段的资产负债表），或其开标前三个月内基本开户银行出具的资信证明，或信用担保机构出具的投标担保函（以上三种形式的资料提供任何一种即可）；供应商需在项目电子化交易系统中按要求上传相应证明文件并进行电子签章。</w:t>
      </w:r>
    </w:p>
    <w:p>
      <w:pPr>
        <w:pStyle w:val="null3"/>
      </w:pPr>
      <w:r>
        <w:rPr>
          <w:rFonts w:ascii="仿宋_GB2312" w:hAnsi="仿宋_GB2312" w:cs="仿宋_GB2312" w:eastAsia="仿宋_GB2312"/>
        </w:rPr>
        <w:t>3、社保缴纳审查：社保缴纳证明：提供递交响应文件截止之日前一年内任意一个月的社会保障资金缴存单据或社保机构开具的社会保险参保缴费情况证明。依法不需要缴纳社会保障资金的供应商应提供相关证明文件；供应商需在项目电子化交易系统中按要求上传相应证明文件并进行电子签章。</w:t>
      </w:r>
    </w:p>
    <w:p>
      <w:pPr>
        <w:pStyle w:val="null3"/>
      </w:pPr>
      <w:r>
        <w:rPr>
          <w:rFonts w:ascii="仿宋_GB2312" w:hAnsi="仿宋_GB2312" w:cs="仿宋_GB2312" w:eastAsia="仿宋_GB2312"/>
        </w:rPr>
        <w:t>4、税收缴纳审查：税收缴纳证明：提供递交响应文件截止之日前一年内任意一个月的依法缴纳税收的相关凭据，凭据应有税务机关或代收机关的公章或业务专用章。依法免税或无须缴纳税收的供应商，应提供相应证明文件；供应商需在项目电子化交易系统中按要求上传相应证明文件并进行电子签章。</w:t>
      </w:r>
    </w:p>
    <w:p>
      <w:pPr>
        <w:pStyle w:val="null3"/>
      </w:pPr>
      <w:r>
        <w:rPr>
          <w:rFonts w:ascii="仿宋_GB2312" w:hAnsi="仿宋_GB2312" w:cs="仿宋_GB2312" w:eastAsia="仿宋_GB2312"/>
        </w:rPr>
        <w:t>5、法定代表人授权委托书审查：法定代表人授权委托书：法定代表人直接参加磋商的，须出具法定代表人身份证及法定代表人身份证明，法定代表人授权代表参加磋商的，须出具法定代表人授权书及授权代表身份证；供应商需在项目电子化交易系统中按要求上传相应证明文件并进行电子签章。</w:t>
      </w:r>
    </w:p>
    <w:p>
      <w:pPr>
        <w:pStyle w:val="null3"/>
      </w:pPr>
      <w:r>
        <w:rPr>
          <w:rFonts w:ascii="仿宋_GB2312" w:hAnsi="仿宋_GB2312" w:cs="仿宋_GB2312" w:eastAsia="仿宋_GB2312"/>
        </w:rPr>
        <w:t>6、无重大违法记录：无重大违法记录：供应商参加政府采购活动前3年内在经营活动中没有重大违法记录；供应商需在项目电子化交易系统中按要求填写《响应函》完成承诺并进行电子签章。</w:t>
      </w:r>
    </w:p>
    <w:p>
      <w:pPr>
        <w:pStyle w:val="null3"/>
      </w:pPr>
      <w:r>
        <w:rPr>
          <w:rFonts w:ascii="仿宋_GB2312" w:hAnsi="仿宋_GB2312" w:cs="仿宋_GB2312" w:eastAsia="仿宋_GB2312"/>
        </w:rPr>
        <w:t>7、信用主体查询：供应商须为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供应商需在项目电子化交易系统中按要求填写《承诺书》完成承诺并进行电子签章。</w:t>
      </w:r>
    </w:p>
    <w:p>
      <w:pPr>
        <w:pStyle w:val="null3"/>
      </w:pPr>
      <w:r>
        <w:rPr>
          <w:rFonts w:ascii="仿宋_GB2312" w:hAnsi="仿宋_GB2312" w:cs="仿宋_GB2312" w:eastAsia="仿宋_GB2312"/>
        </w:rPr>
        <w:t>8、其他承诺响应：具有履行合同所必需的设备和专业技术能力；未为本项目提供整体设计、规范编制或者项目管理、监理、检测等服务；供应商需在项目电子化交易系统中按要求填写《响应函》完成承诺并进行电子签章。</w:t>
      </w:r>
    </w:p>
    <w:p>
      <w:pPr>
        <w:pStyle w:val="null3"/>
      </w:pPr>
      <w:r>
        <w:rPr>
          <w:rFonts w:ascii="仿宋_GB2312" w:hAnsi="仿宋_GB2312" w:cs="仿宋_GB2312" w:eastAsia="仿宋_GB2312"/>
        </w:rPr>
        <w:t>9、控股管理关系：控股管理关系：单位负责人为同一人或者存在直接控股、管理关系的供应商，不得参加同一合同下的政府采购活动；供应商需在项目电子化交易系统中按要求填写《响应函》完成承诺并进行电子签章。</w:t>
      </w:r>
    </w:p>
    <w:p>
      <w:pPr>
        <w:pStyle w:val="null3"/>
      </w:pPr>
      <w:r>
        <w:rPr>
          <w:rFonts w:ascii="仿宋_GB2312" w:hAnsi="仿宋_GB2312" w:cs="仿宋_GB2312" w:eastAsia="仿宋_GB2312"/>
        </w:rPr>
        <w:t>10、联合体：本项目不接受联合体响应，不允许分包；供应商需在项目电子化交易系统中按要求填写《承诺书》完成承诺并进行电子签章。</w:t>
      </w:r>
    </w:p>
    <w:p>
      <w:pPr>
        <w:pStyle w:val="null3"/>
      </w:pPr>
      <w:r>
        <w:rPr>
          <w:rFonts w:ascii="仿宋_GB2312" w:hAnsi="仿宋_GB2312" w:cs="仿宋_GB2312" w:eastAsia="仿宋_GB2312"/>
        </w:rPr>
        <w:t>11、中小企业：本项目为专门面向中小企业的采购，供应商应为中型企业、小型企业、微型企业或监狱企业或残疾人福利性单位，需提供《中小企业声明函》或《监狱企业的证明文件》或《残疾人福利性单位声明函》。供应商需在项目电子化交易系统中按要求上传相应证明文件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陕西省考古研究院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陕西省西安市长安区郭杜街道周家庄村南文苑南路东</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029-89053256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陕西旺生泉项目管理有限公司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陕西省西安市高新区沣惠南路34号摩尔中心1幢11601室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李婷婷</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029-84198629 15389248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采购包1：939,682.80元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参照《招标代理服务收费暂行办法》（计价格[2002]1980号）文件规定服务类标准，按照优惠后的下浮费率收费计取，成交服务费按差额定率累进法计算，分包的项目，按包收取。服务费不足5000元的，按5000元收取。 100以下（不含）： 不下浮； 100（含）-500（不含）：下浮10%； 500（含）-1000（不含）：下浮20%。 代理费缴纳账号信息： 公司名称：陕西旺生泉项目管理有限公司 开户行：中国银行股份有限公司西安南郊支行 账号：103694288939</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陕西省考古研究院</w:t>
      </w:r>
      <w:r>
        <w:rPr>
          <w:rFonts w:ascii="仿宋_GB2312" w:hAnsi="仿宋_GB2312" w:cs="仿宋_GB2312" w:eastAsia="仿宋_GB2312"/>
        </w:rPr>
        <w:t>和</w:t>
      </w:r>
      <w:r>
        <w:rPr>
          <w:rFonts w:ascii="仿宋_GB2312" w:hAnsi="仿宋_GB2312" w:cs="仿宋_GB2312" w:eastAsia="仿宋_GB2312"/>
        </w:rPr>
        <w:t>陕西旺生泉项目管理有限公司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陕西省考古研究院</w:t>
      </w:r>
      <w:r>
        <w:rPr>
          <w:rFonts w:ascii="仿宋_GB2312" w:hAnsi="仿宋_GB2312" w:cs="仿宋_GB2312" w:eastAsia="仿宋_GB2312"/>
        </w:rPr>
        <w:t>负责解释。除上述磋商文件内容，其他内容由</w:t>
      </w:r>
      <w:r>
        <w:rPr>
          <w:rFonts w:ascii="仿宋_GB2312" w:hAnsi="仿宋_GB2312" w:cs="仿宋_GB2312" w:eastAsia="仿宋_GB2312"/>
        </w:rPr>
        <w:t>陕西旺生泉项目管理有限公司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陕西省考古研究院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陕西旺生泉项目管理有限公司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按规范执行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陕西旺生泉项目管理有限公司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陕西旺生泉项目管理有限公司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陕西旺生泉项目管理有限公司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联系人：李婷婷</w:t>
      </w:r>
    </w:p>
    <w:p>
      <w:pPr>
        <w:pStyle w:val="null3"/>
      </w:pPr>
      <w:r>
        <w:rPr>
          <w:rFonts w:ascii="仿宋_GB2312" w:hAnsi="仿宋_GB2312" w:cs="仿宋_GB2312" w:eastAsia="仿宋_GB2312"/>
        </w:rPr>
        <w:t>联系电话：029-84198629 15389248069</w:t>
      </w:r>
    </w:p>
    <w:p>
      <w:pPr>
        <w:pStyle w:val="null3"/>
      </w:pPr>
      <w:r>
        <w:rPr>
          <w:rFonts w:ascii="仿宋_GB2312" w:hAnsi="仿宋_GB2312" w:cs="仿宋_GB2312" w:eastAsia="仿宋_GB2312"/>
        </w:rPr>
        <w:t>地址：陕西省西安市高新区沣惠南路34号摩尔中心A座11601室</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位于陕西省神木市，面积为298312.00㎡，服务期：50个工作日。必须严格按照《考古勘探工作规程》（试行）进行施工。普探布点间距为梅花孔1米布设，加点位置偏差小于20厘米，深度为天然原始土层以下10厘米，对勘探出的古遗址、古墓葬等古文化遗迹做好绘图、照相、测绘、定点等工作。必须有勘探工作日志及原始资料记录。</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939,682.80</w:t>
      </w:r>
    </w:p>
    <w:p>
      <w:pPr>
        <w:pStyle w:val="null3"/>
      </w:pPr>
      <w:r>
        <w:rPr>
          <w:rFonts w:ascii="仿宋_GB2312" w:hAnsi="仿宋_GB2312" w:cs="仿宋_GB2312" w:eastAsia="仿宋_GB2312"/>
        </w:rPr>
        <w:t>采购包最高限价（元）: 939,682.80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考古勘探</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939,682.80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标的名称：考古勘探</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无</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所配备人员充足，可保证本项目顺利实施。</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所提供设施设备充足先进，可保证本项目顺利实施。</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50个工作日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陕西省神木市</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按照合同约定</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签订合同</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完成合同内容，提交验收报告</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法律途径解决</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承诺书.docx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提供事业单位法人证书，自然人提供身份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财务状况审查</w:t>
            </w:r>
          </w:p>
        </w:tc>
        <w:tc>
          <w:tcPr>
            <w:tcW w:type="dxa" w:w="3322"/>
          </w:tcPr>
          <w:p>
            <w:pPr>
              <w:pStyle w:val="null3"/>
            </w:pPr>
            <w:r>
              <w:rPr>
                <w:rFonts w:ascii="仿宋_GB2312" w:hAnsi="仿宋_GB2312" w:cs="仿宋_GB2312" w:eastAsia="仿宋_GB2312"/>
              </w:rPr>
              <w:t>财务状况报告：提供2023年度或2024年度完整的经审计的财务报告（包括“四表一注”，即资产负债表、利润表、现金流量表、所有者权益变动表及其附注，成立时间至提交响应文件截止时间不足一年的可提供成立后任意时段的资产负债表），或其开标前三个月内基本开户银行出具的资信证明，或信用担保机构出具的投标担保函（以上三种形式的资料提供任何一种即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社保缴纳审查</w:t>
            </w:r>
          </w:p>
        </w:tc>
        <w:tc>
          <w:tcPr>
            <w:tcW w:type="dxa" w:w="3322"/>
          </w:tcPr>
          <w:p>
            <w:pPr>
              <w:pStyle w:val="null3"/>
            </w:pPr>
            <w:r>
              <w:rPr>
                <w:rFonts w:ascii="仿宋_GB2312" w:hAnsi="仿宋_GB2312" w:cs="仿宋_GB2312" w:eastAsia="仿宋_GB2312"/>
              </w:rPr>
              <w:t>社保缴纳证明：提供递交响应文件截止之日前一年内任意一个月的社会保障资金缴存单据或社保机构开具的社会保险参保缴费情况证明。依法不需要缴纳社会保障资金的供应商应提供相关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税收缴纳审查</w:t>
            </w:r>
          </w:p>
        </w:tc>
        <w:tc>
          <w:tcPr>
            <w:tcW w:type="dxa" w:w="3322"/>
          </w:tcPr>
          <w:p>
            <w:pPr>
              <w:pStyle w:val="null3"/>
            </w:pPr>
            <w:r>
              <w:rPr>
                <w:rFonts w:ascii="仿宋_GB2312" w:hAnsi="仿宋_GB2312" w:cs="仿宋_GB2312" w:eastAsia="仿宋_GB2312"/>
              </w:rPr>
              <w:t>税收缴纳证明：提供递交响应文件截止之日前一年内任意一个月的依法缴纳税收的相关凭据，凭据应有税务机关或代收机关的公章或业务专用章。依法免税或无须缴纳税收的供应商，应提供相应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法定代表人授权委托书审查</w:t>
            </w:r>
          </w:p>
        </w:tc>
        <w:tc>
          <w:tcPr>
            <w:tcW w:type="dxa" w:w="3322"/>
          </w:tcPr>
          <w:p>
            <w:pPr>
              <w:pStyle w:val="null3"/>
            </w:pPr>
            <w:r>
              <w:rPr>
                <w:rFonts w:ascii="仿宋_GB2312" w:hAnsi="仿宋_GB2312" w:cs="仿宋_GB2312" w:eastAsia="仿宋_GB2312"/>
              </w:rPr>
              <w:t>法定代表人授权委托书：法定代表人直接参加磋商的，须出具法定代表人身份证及法定代表人身份证明，法定代表人授权代表参加磋商的，须出具法定代表人授权书及授权代表身份证；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法定代表人身份证明书.docx 法定代表人授权委托书.docx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w:t>
            </w:r>
          </w:p>
        </w:tc>
        <w:tc>
          <w:tcPr>
            <w:tcW w:type="dxa" w:w="3322"/>
          </w:tcPr>
          <w:p>
            <w:pPr>
              <w:pStyle w:val="null3"/>
            </w:pPr>
            <w:r>
              <w:rPr>
                <w:rFonts w:ascii="仿宋_GB2312" w:hAnsi="仿宋_GB2312" w:cs="仿宋_GB2312" w:eastAsia="仿宋_GB2312"/>
              </w:rPr>
              <w:t>无重大违法记录：供应商参加政府采购活动前3年内在经营活动中没有重大违法记录；供应商需在项目电子化交易系统中按要求填写《响应函》完成承诺并进行电子签章。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信用主体查询</w:t>
            </w:r>
          </w:p>
        </w:tc>
        <w:tc>
          <w:tcPr>
            <w:tcW w:type="dxa" w:w="3322"/>
          </w:tcPr>
          <w:p>
            <w:pPr>
              <w:pStyle w:val="null3"/>
            </w:pPr>
            <w:r>
              <w:rPr>
                <w:rFonts w:ascii="仿宋_GB2312" w:hAnsi="仿宋_GB2312" w:cs="仿宋_GB2312" w:eastAsia="仿宋_GB2312"/>
              </w:rPr>
              <w:t>供应商须为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供应商需在项目电子化交易系统中按要求填写《承诺书》完成承诺并进行电子签章。</w:t>
            </w:r>
          </w:p>
        </w:tc>
        <w:tc>
          <w:tcPr>
            <w:tcW w:type="dxa" w:w="1661"/>
          </w:tcPr>
          <w:p>
            <w:pPr>
              <w:pStyle w:val="null3"/>
            </w:pPr>
            <w:r>
              <w:rPr>
                <w:rFonts w:ascii="仿宋_GB2312" w:hAnsi="仿宋_GB2312" w:cs="仿宋_GB2312" w:eastAsia="仿宋_GB2312"/>
              </w:rPr>
              <w:t>承诺书.docx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其他承诺响应</w:t>
            </w:r>
          </w:p>
        </w:tc>
        <w:tc>
          <w:tcPr>
            <w:tcW w:type="dxa" w:w="3322"/>
          </w:tcPr>
          <w:p>
            <w:pPr>
              <w:pStyle w:val="null3"/>
            </w:pPr>
            <w:r>
              <w:rPr>
                <w:rFonts w:ascii="仿宋_GB2312" w:hAnsi="仿宋_GB2312" w:cs="仿宋_GB2312" w:eastAsia="仿宋_GB2312"/>
              </w:rPr>
              <w:t>具有履行合同所必需的设备和专业技术能力；未为本项目提供整体设计、规范编制或者项目管理、监理、检测等服务；供应商需在项目电子化交易系统中按要求填写《响应函》完成承诺并进行电子签章。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控股管理关系：单位负责人为同一人或者存在直接控股、管理关系的供应商，不得参加同一合同下的政府采购活动；供应商需在项目电子化交易系统中按要求填写《响应函》完成承诺并进行电子签章。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本项目不接受联合体响应，不允许分包；供应商需在项目电子化交易系统中按要求填写《承诺书》完成承诺并进行电子签章。</w:t>
            </w:r>
          </w:p>
        </w:tc>
        <w:tc>
          <w:tcPr>
            <w:tcW w:type="dxa" w:w="1661"/>
          </w:tcPr>
          <w:p>
            <w:pPr>
              <w:pStyle w:val="null3"/>
            </w:pPr>
            <w:r>
              <w:rPr>
                <w:rFonts w:ascii="仿宋_GB2312" w:hAnsi="仿宋_GB2312" w:cs="仿宋_GB2312" w:eastAsia="仿宋_GB2312"/>
              </w:rPr>
              <w:t>承诺书.docx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中小企业</w:t>
            </w:r>
          </w:p>
        </w:tc>
        <w:tc>
          <w:tcPr>
            <w:tcW w:type="dxa" w:w="3322"/>
          </w:tcPr>
          <w:p>
            <w:pPr>
              <w:pStyle w:val="null3"/>
            </w:pPr>
            <w:r>
              <w:rPr>
                <w:rFonts w:ascii="仿宋_GB2312" w:hAnsi="仿宋_GB2312" w:cs="仿宋_GB2312" w:eastAsia="仿宋_GB2312"/>
              </w:rPr>
              <w:t>本项目为专门面向中小企业的采购，供应商应为中型企业、小型企业、微型企业或监狱企业或残疾人福利性单位，需提供《中小企业声明函》或《监狱企业的证明文件》或《残疾人福利性单位声明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按照磋商文件格式要求签署盖章</w:t>
            </w:r>
          </w:p>
        </w:tc>
        <w:tc>
          <w:tcPr>
            <w:tcW w:type="dxa" w:w="1661"/>
          </w:tcPr>
          <w:p>
            <w:pPr>
              <w:pStyle w:val="null3"/>
            </w:pPr>
            <w:r>
              <w:rPr>
                <w:rFonts w:ascii="仿宋_GB2312" w:hAnsi="仿宋_GB2312" w:cs="仿宋_GB2312" w:eastAsia="仿宋_GB2312"/>
              </w:rPr>
              <w:t>业绩一览表.docx 中小企业声明函 承诺书.docx 报价表 技术指标偏差表.docx 商务条款响应说明.docx 响应文件封面 法定代表人身份证明书.docx 供应商应提交的相关资格证明材料.docx 残疾人福利性单位声明函 标的清单 响应函 法定代表人授权委托书.docx 服务方案.docx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供应商报价未超过采购预算价或者最高限价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标的清单 报价表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技术方案</w:t>
            </w:r>
          </w:p>
        </w:tc>
        <w:tc>
          <w:tcPr>
            <w:tcW w:type="dxa" w:w="2492"/>
          </w:tcPr>
          <w:p>
            <w:pPr>
              <w:pStyle w:val="null3"/>
            </w:pPr>
            <w:r>
              <w:rPr>
                <w:rFonts w:ascii="仿宋_GB2312" w:hAnsi="仿宋_GB2312" w:cs="仿宋_GB2312" w:eastAsia="仿宋_GB2312"/>
              </w:rPr>
              <w:t>1、提供针对本项目的考古勘探方案质量控制，对质量检查措施、检验控制系统等有详细说明。 ①内容具体、完整、详细、全面、可行性强，计6-10分； ②内容欠缺、薄弱、仅能满足项目需求，计1-6分； ③未提供不得分。 2、提供针对本项目的考古勘探方案技术，供应商对考古勘探方案技术有详细说明。 ①内容具体、完整、详细、全面、可行性强，6-10分； ②内容欠缺、薄弱、仅能满足项目需求，计1-6分； ③未提供不得分。 3、提供针对本项目的工期目标和工作计划，包含工作任务、技术路线、人员分工和职责、工作进度、文物保护措施等，并对其有详细说明。 ①内容具体、完整、详细、全面、可行性强，计4-7分； ②内容欠缺、薄弱、仅能满足项目需求，计1-4分； ③未提供不得分。 4、提供针对本项目的考古勘探方案安全管理体系与措施，并对考古勘探方案安全管理体系与措施有详细说明。 ①内容具体、完整、详细、全面、可行性强，计4-8分； ②内容欠缺、薄弱、仅能满足项目需求，计 1-4分； ③未提供不得分。</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提出针对本项目的具体服务承诺，包含接到项目后响应时间、完成时间、后续服务及过程服务等内容等，并对其有详细说明。 ①内容具体、完整、详细、全面、可行性强，计3-5分； ②内容欠缺、薄弱的、仅能满足项目需求，计 1-3分； ③未提供方案不得分。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安全应急预案</w:t>
            </w:r>
          </w:p>
        </w:tc>
        <w:tc>
          <w:tcPr>
            <w:tcW w:type="dxa" w:w="2492"/>
          </w:tcPr>
          <w:p>
            <w:pPr>
              <w:pStyle w:val="null3"/>
            </w:pPr>
            <w:r>
              <w:rPr>
                <w:rFonts w:ascii="仿宋_GB2312" w:hAnsi="仿宋_GB2312" w:cs="仿宋_GB2312" w:eastAsia="仿宋_GB2312"/>
              </w:rPr>
              <w:t>提供针对本项目可能出现的安全情况进行应急预案及并提供具体措施。 ①急预案及措施针对性强，能及时解决问题，计3-5分； ②急预案及措施简单空泛计1-3分； ③未提供不计分。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拟投入本项目人员配备</w:t>
            </w:r>
          </w:p>
        </w:tc>
        <w:tc>
          <w:tcPr>
            <w:tcW w:type="dxa" w:w="2492"/>
          </w:tcPr>
          <w:p>
            <w:pPr>
              <w:pStyle w:val="null3"/>
            </w:pPr>
            <w:r>
              <w:rPr>
                <w:rFonts w:ascii="仿宋_GB2312" w:hAnsi="仿宋_GB2312" w:cs="仿宋_GB2312" w:eastAsia="仿宋_GB2312"/>
              </w:rPr>
              <w:t>根据供应商提供的项目组管理人员、技师、探工、资料员等配置情况，以其人数、技术职称、专业配置等进行比较。 ①项目组人员配置合理、分工及职责明确，计6-10分； ②项目组人员配置不合理、无明确的分工及职责，计1-6分； ③未提供人员配备不计分。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设备投入</w:t>
            </w:r>
          </w:p>
        </w:tc>
        <w:tc>
          <w:tcPr>
            <w:tcW w:type="dxa" w:w="2492"/>
          </w:tcPr>
          <w:p>
            <w:pPr>
              <w:pStyle w:val="null3"/>
            </w:pPr>
            <w:r>
              <w:rPr>
                <w:rFonts w:ascii="仿宋_GB2312" w:hAnsi="仿宋_GB2312" w:cs="仿宋_GB2312" w:eastAsia="仿宋_GB2312"/>
              </w:rPr>
              <w:t>根据采购要求能提供保障本项目顺利进行的设施、设备及工具，配置合理，根据所提供设备的贴合性、先进性、以及数量、品质、新旧程度等计1-5分。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1、提供近三年（2022年1月至今）考古勘探工作业绩，每提供一项得2分（以中标通知书或合同复印件为准），满分10分。 2、提供考古发掘单位出具的考古勘探验收意见书。一个优秀3分，良好2分，合格1分，不合格0分，提供2022年1月至今的证明材料（最多提供5份），满分15分。 以上业绩可重复。</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满足竞争性磋商文件要求的有效报价中最低报价为最高得分点：报价最低计15分，其它报价所得分值按（最低报价／磋商报价）×15的公式计算。 注：本项目为专门面对中小企业采购项目，不再执行价格评审优惠的扶持政策。</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详见附件：承诺书.docx</w:t>
      </w:r>
    </w:p>
    <w:p>
      <w:pPr>
        <w:pStyle w:val="null3"/>
        <w:ind w:firstLine="960"/>
      </w:pPr>
      <w:r>
        <w:rPr>
          <w:rFonts w:ascii="仿宋_GB2312" w:hAnsi="仿宋_GB2312" w:cs="仿宋_GB2312" w:eastAsia="仿宋_GB2312"/>
        </w:rPr>
        <w:t>详见附件：法定代表人身份证明书.docx</w:t>
      </w:r>
    </w:p>
    <w:p>
      <w:pPr>
        <w:pStyle w:val="null3"/>
        <w:ind w:firstLine="960"/>
      </w:pPr>
      <w:r>
        <w:rPr>
          <w:rFonts w:ascii="仿宋_GB2312" w:hAnsi="仿宋_GB2312" w:cs="仿宋_GB2312" w:eastAsia="仿宋_GB2312"/>
        </w:rPr>
        <w:t>详见附件：法定代表人授权委托书.docx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详见附件：技术指标偏差表.docx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ind w:firstLine="960"/>
      </w:pPr>
      <w:r>
        <w:rPr>
          <w:rFonts w:ascii="仿宋_GB2312" w:hAnsi="仿宋_GB2312" w:cs="仿宋_GB2312" w:eastAsia="仿宋_GB2312"/>
        </w:rPr>
        <w:t>详见附件：商务条款响应说明.docx</w:t>
      </w:r>
    </w:p>
    <w:p>
      <w:pPr>
        <w:pStyle w:val="null3"/>
        <w:ind w:firstLine="960"/>
      </w:pPr>
      <w:r>
        <w:rPr>
          <w:rFonts w:ascii="仿宋_GB2312" w:hAnsi="仿宋_GB2312" w:cs="仿宋_GB2312" w:eastAsia="仿宋_GB2312"/>
        </w:rPr>
        <w:t>详见附件：业绩一览表.docx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